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E3" w:rsidRDefault="00F80A50" w:rsidP="00420A09">
      <w:pPr>
        <w:spacing w:line="360" w:lineRule="auto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EX</w:t>
      </w:r>
      <w:r w:rsidR="00AA72E3">
        <w:rPr>
          <w:szCs w:val="24"/>
        </w:rPr>
        <w:t xml:space="preserve">MO. SR. DR. JUIZ DE DIREITO DA VARA </w:t>
      </w:r>
      <w:r w:rsidR="005816EC">
        <w:rPr>
          <w:szCs w:val="24"/>
        </w:rPr>
        <w:t>JUDICIAL DA COMARCA DE CRAVINHOS</w:t>
      </w:r>
    </w:p>
    <w:p w:rsidR="00F80A50" w:rsidRDefault="00F80A50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5816EC">
      <w:pPr>
        <w:widowControl w:val="0"/>
        <w:tabs>
          <w:tab w:val="left" w:pos="0"/>
        </w:tabs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ab/>
      </w:r>
      <w:r>
        <w:rPr>
          <w:rFonts w:cs="Arial"/>
          <w:b/>
          <w:bCs/>
          <w:szCs w:val="24"/>
          <w:lang w:val="pt-PT"/>
        </w:rPr>
        <w:tab/>
      </w:r>
      <w:r>
        <w:rPr>
          <w:rFonts w:cs="Arial"/>
          <w:b/>
          <w:bCs/>
          <w:szCs w:val="24"/>
          <w:lang w:val="pt-PT"/>
        </w:rPr>
        <w:tab/>
      </w:r>
      <w:r w:rsidRPr="00C90590">
        <w:rPr>
          <w:rFonts w:cs="Arial"/>
          <w:b/>
          <w:bCs/>
          <w:szCs w:val="24"/>
          <w:lang w:val="pt-PT"/>
        </w:rPr>
        <w:t xml:space="preserve">O ESTADO DE SAO PAULO, </w:t>
      </w:r>
      <w:r w:rsidRPr="00C90590">
        <w:rPr>
          <w:rFonts w:cs="Arial"/>
          <w:szCs w:val="24"/>
        </w:rPr>
        <w:t>p</w:t>
      </w:r>
      <w:r>
        <w:rPr>
          <w:rFonts w:cs="Arial"/>
          <w:szCs w:val="24"/>
        </w:rPr>
        <w:t>essoa jurídica de direito público interno, p</w:t>
      </w:r>
      <w:r w:rsidRPr="00C90590">
        <w:rPr>
          <w:rFonts w:cs="Arial"/>
          <w:szCs w:val="24"/>
        </w:rPr>
        <w:t>or seu</w:t>
      </w:r>
      <w:r>
        <w:rPr>
          <w:rFonts w:cs="Arial"/>
          <w:szCs w:val="24"/>
        </w:rPr>
        <w:t>s</w:t>
      </w:r>
      <w:r w:rsidRPr="00C90590">
        <w:rPr>
          <w:rFonts w:cs="Arial"/>
          <w:szCs w:val="24"/>
        </w:rPr>
        <w:t xml:space="preserve"> Procurador</w:t>
      </w:r>
      <w:r>
        <w:rPr>
          <w:rFonts w:cs="Arial"/>
          <w:szCs w:val="24"/>
        </w:rPr>
        <w:t>es</w:t>
      </w:r>
      <w:r w:rsidRPr="00C90590">
        <w:rPr>
          <w:rFonts w:cs="Arial"/>
          <w:szCs w:val="24"/>
        </w:rPr>
        <w:t xml:space="preserve"> infra-assinado</w:t>
      </w:r>
      <w:r>
        <w:rPr>
          <w:rFonts w:cs="Arial"/>
          <w:szCs w:val="24"/>
        </w:rPr>
        <w:t>s</w:t>
      </w:r>
      <w:r w:rsidRPr="00C90590">
        <w:rPr>
          <w:rFonts w:cs="Arial"/>
          <w:szCs w:val="24"/>
        </w:rPr>
        <w:t>, vem, respeitosamente, perante Vossa Excelência</w:t>
      </w:r>
      <w:r>
        <w:rPr>
          <w:rFonts w:cs="Arial"/>
          <w:szCs w:val="24"/>
        </w:rPr>
        <w:t>,</w:t>
      </w:r>
      <w:r w:rsidRPr="00C90590">
        <w:rPr>
          <w:rFonts w:cs="Arial"/>
          <w:szCs w:val="24"/>
        </w:rPr>
        <w:t xml:space="preserve"> propor</w:t>
      </w:r>
      <w:r>
        <w:rPr>
          <w:rFonts w:cs="Arial"/>
          <w:szCs w:val="24"/>
        </w:rPr>
        <w:t xml:space="preserve">, com base nos artigos 46, </w:t>
      </w:r>
      <w:r w:rsidR="002731C5">
        <w:rPr>
          <w:rFonts w:cs="Arial"/>
          <w:szCs w:val="24"/>
        </w:rPr>
        <w:t>536 e seguintes do CPC,</w:t>
      </w:r>
      <w:r>
        <w:rPr>
          <w:rFonts w:cs="Arial"/>
          <w:szCs w:val="24"/>
          <w:lang w:val="pt-PT"/>
        </w:rPr>
        <w:t xml:space="preserve"> </w:t>
      </w:r>
      <w:proofErr w:type="gramStart"/>
      <w:r w:rsidRPr="00C90590">
        <w:rPr>
          <w:rFonts w:cs="Arial"/>
          <w:szCs w:val="24"/>
          <w:lang w:val="pt-PT"/>
        </w:rPr>
        <w:t>a presente</w:t>
      </w:r>
      <w:proofErr w:type="gramEnd"/>
    </w:p>
    <w:p w:rsidR="005816EC" w:rsidRDefault="005816EC" w:rsidP="005816EC">
      <w:pPr>
        <w:widowControl w:val="0"/>
        <w:tabs>
          <w:tab w:val="left" w:pos="0"/>
        </w:tabs>
        <w:spacing w:line="360" w:lineRule="auto"/>
        <w:jc w:val="both"/>
        <w:rPr>
          <w:rFonts w:cs="Arial"/>
          <w:szCs w:val="24"/>
          <w:lang w:val="pt-PT"/>
        </w:rPr>
      </w:pPr>
    </w:p>
    <w:p w:rsidR="005816EC" w:rsidRDefault="005816EC" w:rsidP="005816EC">
      <w:pPr>
        <w:widowControl w:val="0"/>
        <w:tabs>
          <w:tab w:val="left" w:pos="0"/>
        </w:tabs>
        <w:spacing w:line="36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A</w:t>
      </w:r>
      <w:r w:rsidRPr="00C90590">
        <w:rPr>
          <w:rFonts w:cs="Arial"/>
          <w:b/>
          <w:bCs/>
          <w:szCs w:val="24"/>
          <w:lang w:val="pt-PT"/>
        </w:rPr>
        <w:t xml:space="preserve">ÇÃO </w:t>
      </w:r>
      <w:r>
        <w:rPr>
          <w:rFonts w:cs="Arial"/>
          <w:b/>
          <w:bCs/>
          <w:szCs w:val="24"/>
          <w:lang w:val="pt-PT"/>
        </w:rPr>
        <w:t>DE OBRIGAÇÃO FAZER, CUMULADA COM PEDIDO DE TUTELA ANTECIPADA</w:t>
      </w:r>
      <w:r w:rsidRPr="00C90590">
        <w:rPr>
          <w:rFonts w:cs="Arial"/>
          <w:szCs w:val="24"/>
          <w:lang w:val="pt-PT"/>
        </w:rPr>
        <w:t>,</w:t>
      </w:r>
    </w:p>
    <w:p w:rsidR="005816EC" w:rsidRDefault="005816EC" w:rsidP="005816EC">
      <w:pPr>
        <w:widowControl w:val="0"/>
        <w:tabs>
          <w:tab w:val="left" w:pos="0"/>
        </w:tabs>
        <w:spacing w:line="360" w:lineRule="auto"/>
        <w:jc w:val="both"/>
        <w:rPr>
          <w:rFonts w:cs="Arial"/>
          <w:b/>
          <w:bCs/>
          <w:szCs w:val="24"/>
          <w:lang w:val="pt-PT"/>
        </w:rPr>
      </w:pPr>
    </w:p>
    <w:p w:rsidR="002731C5" w:rsidRDefault="005816EC" w:rsidP="005816EC">
      <w:pPr>
        <w:widowControl w:val="0"/>
        <w:tabs>
          <w:tab w:val="left" w:pos="0"/>
        </w:tabs>
        <w:spacing w:line="360" w:lineRule="auto"/>
        <w:jc w:val="both"/>
        <w:rPr>
          <w:rFonts w:cs="Arial"/>
          <w:szCs w:val="24"/>
          <w:lang w:val="pt-PT"/>
        </w:rPr>
      </w:pPr>
      <w:proofErr w:type="gramStart"/>
      <w:r w:rsidRPr="00C90590">
        <w:rPr>
          <w:rFonts w:cs="Arial"/>
          <w:szCs w:val="24"/>
          <w:lang w:val="pt-PT"/>
        </w:rPr>
        <w:t>observado</w:t>
      </w:r>
      <w:proofErr w:type="gramEnd"/>
      <w:r w:rsidRPr="00C90590">
        <w:rPr>
          <w:rFonts w:cs="Arial"/>
          <w:szCs w:val="24"/>
          <w:lang w:val="pt-PT"/>
        </w:rPr>
        <w:t xml:space="preserve"> o rito </w:t>
      </w:r>
      <w:r>
        <w:rPr>
          <w:rFonts w:cs="Arial"/>
          <w:szCs w:val="24"/>
          <w:lang w:val="pt-PT"/>
        </w:rPr>
        <w:t>comum</w:t>
      </w:r>
      <w:r w:rsidRPr="00C90590">
        <w:rPr>
          <w:rFonts w:cs="Arial"/>
          <w:szCs w:val="24"/>
          <w:lang w:val="pt-PT"/>
        </w:rPr>
        <w:t>, em face de</w:t>
      </w:r>
      <w:r>
        <w:rPr>
          <w:rFonts w:cs="Arial"/>
          <w:szCs w:val="24"/>
          <w:lang w:val="pt-PT"/>
        </w:rPr>
        <w:t xml:space="preserve"> </w:t>
      </w:r>
      <w:r>
        <w:rPr>
          <w:rFonts w:cs="Arial"/>
          <w:b/>
          <w:szCs w:val="24"/>
          <w:lang w:val="pt-PT"/>
        </w:rPr>
        <w:t>PDT PHARMA INDÚSTRIA E COMÉRCIO DE PRODUTOS FARMACÊUTICOS LTDA. - EPP</w:t>
      </w:r>
      <w:r>
        <w:rPr>
          <w:rFonts w:cs="Arial"/>
          <w:szCs w:val="24"/>
          <w:lang w:val="pt-PT"/>
        </w:rPr>
        <w:t xml:space="preserve">, inscrita no CNPJ sob nº 10.785.694/0001-73, com endereço na Avenida Marechal Deodoro da Fonseca, nº 67, Centro, Cravinhos, </w:t>
      </w:r>
      <w:r w:rsidR="002731C5">
        <w:rPr>
          <w:rFonts w:cs="Arial"/>
          <w:szCs w:val="24"/>
          <w:lang w:val="pt-PT"/>
        </w:rPr>
        <w:t>pelas razões a seguir expostas:</w:t>
      </w:r>
    </w:p>
    <w:p w:rsidR="005816EC" w:rsidRPr="002731C5" w:rsidRDefault="005816EC" w:rsidP="002731C5">
      <w:pPr>
        <w:pStyle w:val="DEBORA"/>
        <w:widowControl w:val="0"/>
        <w:tabs>
          <w:tab w:val="left" w:pos="0"/>
          <w:tab w:val="left" w:pos="204"/>
        </w:tabs>
        <w:autoSpaceDE w:val="0"/>
        <w:autoSpaceDN w:val="0"/>
        <w:spacing w:line="360" w:lineRule="auto"/>
        <w:rPr>
          <w:rFonts w:ascii="Arial" w:hAnsi="Arial" w:cs="Arial"/>
          <w:b w:val="0"/>
          <w:bCs w:val="0"/>
          <w:sz w:val="24"/>
          <w:szCs w:val="24"/>
          <w:lang w:val="pt-PT"/>
        </w:rPr>
      </w:pPr>
    </w:p>
    <w:p w:rsidR="00657FAC" w:rsidRDefault="002731C5" w:rsidP="00657FAC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  <w:lang w:val="pt-PT"/>
        </w:rPr>
        <w:tab/>
      </w:r>
      <w:r>
        <w:rPr>
          <w:rFonts w:cs="Arial"/>
          <w:szCs w:val="24"/>
          <w:lang w:val="pt-PT"/>
        </w:rPr>
        <w:tab/>
      </w:r>
      <w:r>
        <w:rPr>
          <w:rFonts w:cs="Arial"/>
          <w:szCs w:val="24"/>
          <w:lang w:val="pt-PT"/>
        </w:rPr>
        <w:tab/>
      </w:r>
      <w:r w:rsidR="00641A77">
        <w:rPr>
          <w:rFonts w:cs="Arial"/>
          <w:szCs w:val="24"/>
          <w:lang w:val="pt-PT"/>
        </w:rPr>
        <w:t xml:space="preserve">Em decorrência </w:t>
      </w:r>
      <w:r w:rsidR="00657FAC">
        <w:rPr>
          <w:rFonts w:cs="Arial"/>
          <w:szCs w:val="24"/>
        </w:rPr>
        <w:t xml:space="preserve">da intensa divulgação nas redes sociais de um sugerido clamor popular pela livre dispensação da </w:t>
      </w:r>
      <w:r w:rsidR="00641A77">
        <w:rPr>
          <w:rFonts w:cs="Arial"/>
          <w:szCs w:val="24"/>
        </w:rPr>
        <w:t>“Fosfoetanolamina Sintética”</w:t>
      </w:r>
      <w:r w:rsidR="00657FAC">
        <w:rPr>
          <w:rFonts w:cs="Arial"/>
          <w:szCs w:val="24"/>
        </w:rPr>
        <w:t>, sempre a propósito de imprecisos testemunhos de portadores de cânceres, que relata</w:t>
      </w:r>
      <w:r w:rsidR="00340BC9">
        <w:rPr>
          <w:rFonts w:cs="Arial"/>
          <w:szCs w:val="24"/>
        </w:rPr>
        <w:t>va</w:t>
      </w:r>
      <w:r w:rsidR="00657FAC">
        <w:rPr>
          <w:rFonts w:cs="Arial"/>
          <w:szCs w:val="24"/>
        </w:rPr>
        <w:t>m curas e melhoras quase milagrosas</w:t>
      </w:r>
      <w:r w:rsidR="00641A77">
        <w:rPr>
          <w:rFonts w:cs="Arial"/>
          <w:szCs w:val="24"/>
        </w:rPr>
        <w:t xml:space="preserve">, assim como das centenas e centenas de </w:t>
      </w:r>
      <w:proofErr w:type="gramStart"/>
      <w:r w:rsidR="00641A77">
        <w:rPr>
          <w:rFonts w:cs="Arial"/>
          <w:szCs w:val="24"/>
        </w:rPr>
        <w:t>ações judicial</w:t>
      </w:r>
      <w:proofErr w:type="gramEnd"/>
      <w:r w:rsidR="00641A77">
        <w:rPr>
          <w:rFonts w:cs="Arial"/>
          <w:szCs w:val="24"/>
        </w:rPr>
        <w:t xml:space="preserve">, visando compelir </w:t>
      </w:r>
      <w:r w:rsidR="00340BC9">
        <w:rPr>
          <w:rFonts w:cs="Arial"/>
          <w:szCs w:val="24"/>
        </w:rPr>
        <w:t xml:space="preserve">os </w:t>
      </w:r>
      <w:r w:rsidR="00641A77">
        <w:rPr>
          <w:rFonts w:cs="Arial"/>
          <w:szCs w:val="24"/>
        </w:rPr>
        <w:t xml:space="preserve">entes públicos a sintetizar e fornecer o composto, o Governo do Estado de São Paulo decidiu </w:t>
      </w:r>
      <w:r w:rsidR="00641A77">
        <w:rPr>
          <w:rFonts w:cs="Arial"/>
          <w:szCs w:val="24"/>
        </w:rPr>
        <w:lastRenderedPageBreak/>
        <w:t xml:space="preserve">realizar, com a concordância do criador do seu processo de síntese, o docente aposentado da USP, Prof. Gilberto </w:t>
      </w:r>
      <w:proofErr w:type="spellStart"/>
      <w:r w:rsidR="00641A77">
        <w:rPr>
          <w:rFonts w:cs="Arial"/>
          <w:szCs w:val="24"/>
        </w:rPr>
        <w:t>Orivaldo</w:t>
      </w:r>
      <w:proofErr w:type="spellEnd"/>
      <w:r w:rsidR="00641A77">
        <w:rPr>
          <w:rFonts w:cs="Arial"/>
          <w:szCs w:val="24"/>
        </w:rPr>
        <w:t xml:space="preserve"> </w:t>
      </w:r>
      <w:proofErr w:type="spellStart"/>
      <w:r w:rsidR="00641A77">
        <w:rPr>
          <w:rFonts w:cs="Arial"/>
          <w:szCs w:val="24"/>
        </w:rPr>
        <w:t>Chierice</w:t>
      </w:r>
      <w:proofErr w:type="spellEnd"/>
      <w:r w:rsidR="00641A77">
        <w:rPr>
          <w:rFonts w:cs="Arial"/>
          <w:szCs w:val="24"/>
        </w:rPr>
        <w:t>, a primeira pesquisa clínica fase II com a droga, a part</w:t>
      </w:r>
      <w:r w:rsidR="00A06465">
        <w:rPr>
          <w:rFonts w:cs="Arial"/>
          <w:szCs w:val="24"/>
        </w:rPr>
        <w:t>i</w:t>
      </w:r>
      <w:r w:rsidR="00641A77">
        <w:rPr>
          <w:rFonts w:cs="Arial"/>
          <w:szCs w:val="24"/>
        </w:rPr>
        <w:t>r d</w:t>
      </w:r>
      <w:r w:rsidR="00A06465">
        <w:rPr>
          <w:rFonts w:cs="Arial"/>
          <w:szCs w:val="24"/>
        </w:rPr>
        <w:t>e</w:t>
      </w:r>
      <w:r w:rsidR="00641A77">
        <w:rPr>
          <w:rFonts w:cs="Arial"/>
          <w:szCs w:val="24"/>
        </w:rPr>
        <w:t xml:space="preserve"> pacientes voluntários portadores de tumores sólidos. O objetivo da empreitada era aferir a toxidade, a farmacodinâmica e </w:t>
      </w:r>
      <w:r w:rsidR="00A06465">
        <w:rPr>
          <w:rFonts w:cs="Arial"/>
          <w:szCs w:val="24"/>
        </w:rPr>
        <w:t>a eficácia terapêutica da chamada “Pílula do Câncer”.</w:t>
      </w:r>
    </w:p>
    <w:p w:rsidR="00A06465" w:rsidRDefault="00A06465" w:rsidP="00657FAC">
      <w:pPr>
        <w:spacing w:line="360" w:lineRule="auto"/>
        <w:jc w:val="both"/>
        <w:rPr>
          <w:rFonts w:cs="Arial"/>
          <w:szCs w:val="24"/>
        </w:rPr>
      </w:pPr>
    </w:p>
    <w:p w:rsidR="00A06465" w:rsidRDefault="00A06465" w:rsidP="00657FAC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Para a realização da pesquisa, o Prof. Gilberto </w:t>
      </w:r>
      <w:proofErr w:type="spellStart"/>
      <w:r>
        <w:rPr>
          <w:rFonts w:cs="Arial"/>
          <w:szCs w:val="24"/>
        </w:rPr>
        <w:t>Chierice</w:t>
      </w:r>
      <w:proofErr w:type="spellEnd"/>
      <w:r>
        <w:rPr>
          <w:rFonts w:cs="Arial"/>
          <w:szCs w:val="24"/>
        </w:rPr>
        <w:t xml:space="preserve"> fez algumas exigências. Elegeu, por exemplo, o laboratório PDT Pharma como o local em que deveria ocorrer a síntese da substância. Estabeleceu também que o processo químico deveria ser orientado pelo técnico da USP Salvador Claro Neto, coproprietário do pedido e depósito da patente da Fosfoetanolamina Sintética.</w:t>
      </w:r>
    </w:p>
    <w:p w:rsidR="00A06465" w:rsidRDefault="00A06465" w:rsidP="00657FAC">
      <w:pPr>
        <w:spacing w:line="360" w:lineRule="auto"/>
        <w:jc w:val="both"/>
        <w:rPr>
          <w:rFonts w:cs="Arial"/>
          <w:szCs w:val="24"/>
        </w:rPr>
      </w:pPr>
    </w:p>
    <w:p w:rsidR="00A06465" w:rsidRDefault="00A06465" w:rsidP="00657FAC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Aquiescen</w:t>
      </w:r>
      <w:r w:rsidR="00AB2679">
        <w:rPr>
          <w:rFonts w:cs="Arial"/>
          <w:szCs w:val="24"/>
        </w:rPr>
        <w:t>d</w:t>
      </w:r>
      <w:r>
        <w:rPr>
          <w:rFonts w:cs="Arial"/>
          <w:szCs w:val="24"/>
        </w:rPr>
        <w:t>o com as exigências, o Governo Estadual, por sua Secretaria da Saúde, requisitou à Reitoria da USP a disponibilidade do técnico Salvador Claro Neto, assim como tratou de contratar a ré PDT Pharma para realizar o processo de sintetização do composto, fornecendo o necessário.</w:t>
      </w:r>
    </w:p>
    <w:p w:rsidR="00A06465" w:rsidRDefault="00A06465" w:rsidP="00657FAC">
      <w:pPr>
        <w:spacing w:line="360" w:lineRule="auto"/>
        <w:jc w:val="both"/>
        <w:rPr>
          <w:rFonts w:cs="Arial"/>
          <w:szCs w:val="24"/>
        </w:rPr>
      </w:pPr>
    </w:p>
    <w:p w:rsidR="00A06465" w:rsidRDefault="00A06465" w:rsidP="00657FAC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Porém, a empresa escolhida, por não deter aparato técnico para a formulação galênica (o encapsulamento </w:t>
      </w:r>
      <w:r w:rsidR="00AB2679">
        <w:rPr>
          <w:rFonts w:cs="Arial"/>
          <w:szCs w:val="24"/>
        </w:rPr>
        <w:t>da substância em sua dosagem precisa</w:t>
      </w:r>
      <w:r>
        <w:rPr>
          <w:rFonts w:cs="Arial"/>
          <w:szCs w:val="24"/>
        </w:rPr>
        <w:t>)</w:t>
      </w:r>
      <w:r w:rsidR="00AB2679">
        <w:rPr>
          <w:rFonts w:cs="Arial"/>
          <w:szCs w:val="24"/>
        </w:rPr>
        <w:t xml:space="preserve">, levou o Governo do Estado a se valer da FURP – Fundação do Remédio Popular, laboratório público, detentor da correspondente tecnologia, para que as capsulas de Fosfoetanolamina Sintética fossem encaminhadas, na sequência, ao serviço </w:t>
      </w:r>
      <w:r w:rsidR="00340BC9">
        <w:rPr>
          <w:rFonts w:cs="Arial"/>
          <w:szCs w:val="24"/>
        </w:rPr>
        <w:t>de saúde responsável pela pesquisa.</w:t>
      </w:r>
      <w:r w:rsidR="00AB2679">
        <w:rPr>
          <w:rFonts w:cs="Arial"/>
          <w:szCs w:val="24"/>
        </w:rPr>
        <w:t xml:space="preserve">  </w:t>
      </w:r>
    </w:p>
    <w:p w:rsidR="00AB2679" w:rsidRDefault="00AB2679" w:rsidP="00657FAC">
      <w:pPr>
        <w:spacing w:line="360" w:lineRule="auto"/>
        <w:jc w:val="both"/>
        <w:rPr>
          <w:rFonts w:cs="Arial"/>
          <w:szCs w:val="24"/>
        </w:rPr>
      </w:pPr>
    </w:p>
    <w:p w:rsidR="00AB2679" w:rsidRDefault="00340BC9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B2679" w:rsidRPr="000326FF">
        <w:rPr>
          <w:rFonts w:cs="Arial"/>
          <w:szCs w:val="24"/>
        </w:rPr>
        <w:t xml:space="preserve">A instituição escolhida para sediar </w:t>
      </w:r>
      <w:r>
        <w:rPr>
          <w:rFonts w:cs="Arial"/>
          <w:szCs w:val="24"/>
        </w:rPr>
        <w:t>tão relevante estudo foi</w:t>
      </w:r>
      <w:r w:rsidR="00AB2679" w:rsidRPr="000326FF">
        <w:rPr>
          <w:rFonts w:cs="Arial"/>
          <w:szCs w:val="24"/>
        </w:rPr>
        <w:t xml:space="preserve"> o </w:t>
      </w:r>
      <w:r>
        <w:rPr>
          <w:rFonts w:cs="Arial"/>
          <w:szCs w:val="24"/>
        </w:rPr>
        <w:t xml:space="preserve">ICESP - </w:t>
      </w:r>
      <w:r w:rsidR="00AB2679" w:rsidRPr="000326FF">
        <w:rPr>
          <w:rFonts w:cs="Arial"/>
          <w:szCs w:val="24"/>
        </w:rPr>
        <w:t xml:space="preserve">Instituto do Câncer do Estado de São Paulo, </w:t>
      </w:r>
      <w:r w:rsidR="00AB2679">
        <w:rPr>
          <w:rFonts w:cs="Arial"/>
          <w:szCs w:val="24"/>
        </w:rPr>
        <w:t xml:space="preserve">integrante do </w:t>
      </w:r>
      <w:r w:rsidR="00AB2679" w:rsidRPr="000326FF">
        <w:rPr>
          <w:rFonts w:cs="Arial"/>
          <w:szCs w:val="24"/>
        </w:rPr>
        <w:t xml:space="preserve">Hospital das Clínicas da Faculdade de Medicina da Universidade de São Paulo, </w:t>
      </w:r>
      <w:r>
        <w:rPr>
          <w:rFonts w:cs="Arial"/>
          <w:szCs w:val="24"/>
        </w:rPr>
        <w:t>centro de excelência e promotor de ensino e pesquisa na área do câncer.</w:t>
      </w:r>
      <w:r w:rsidR="00AB2679" w:rsidRPr="000326FF">
        <w:rPr>
          <w:rFonts w:cs="Arial"/>
          <w:szCs w:val="24"/>
        </w:rPr>
        <w:t xml:space="preserve"> </w:t>
      </w:r>
    </w:p>
    <w:p w:rsidR="003A6F19" w:rsidRDefault="00340BC9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AD21E5">
        <w:rPr>
          <w:rFonts w:cs="Arial"/>
          <w:szCs w:val="24"/>
        </w:rPr>
        <w:t xml:space="preserve">Para </w:t>
      </w:r>
      <w:r w:rsidR="004A6D5B">
        <w:rPr>
          <w:rFonts w:cs="Arial"/>
          <w:szCs w:val="24"/>
        </w:rPr>
        <w:t xml:space="preserve">formalização dos muitos ajustes, O Prof. Gilberto </w:t>
      </w:r>
      <w:proofErr w:type="spellStart"/>
      <w:r w:rsidR="004A6D5B">
        <w:rPr>
          <w:rFonts w:cs="Arial"/>
          <w:szCs w:val="24"/>
        </w:rPr>
        <w:t>Chierice</w:t>
      </w:r>
      <w:proofErr w:type="spellEnd"/>
      <w:r w:rsidR="004A6D5B">
        <w:rPr>
          <w:rFonts w:cs="Arial"/>
          <w:szCs w:val="24"/>
        </w:rPr>
        <w:t xml:space="preserve"> firmou com o Governo Estadual Termo de Cessão de Uso da Fosfoetanolamina Sintética, parta fins exclusivos de </w:t>
      </w:r>
      <w:proofErr w:type="gramStart"/>
      <w:r w:rsidR="004A6D5B">
        <w:rPr>
          <w:rFonts w:cs="Arial"/>
          <w:szCs w:val="24"/>
        </w:rPr>
        <w:t>realiza~</w:t>
      </w:r>
      <w:proofErr w:type="gramEnd"/>
      <w:r w:rsidR="004A6D5B">
        <w:rPr>
          <w:rFonts w:cs="Arial"/>
          <w:szCs w:val="24"/>
        </w:rPr>
        <w:t xml:space="preserve">]ao de pesquisa clínica (Doc. </w:t>
      </w:r>
      <w:proofErr w:type="gramStart"/>
      <w:r w:rsidR="004A6D5B">
        <w:rPr>
          <w:rFonts w:cs="Arial"/>
          <w:szCs w:val="24"/>
        </w:rPr>
        <w:t>1</w:t>
      </w:r>
      <w:proofErr w:type="gramEnd"/>
      <w:r w:rsidR="004A6D5B">
        <w:rPr>
          <w:rFonts w:cs="Arial"/>
          <w:szCs w:val="24"/>
        </w:rPr>
        <w:t xml:space="preserve">).  </w:t>
      </w: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4A6D5B">
        <w:rPr>
          <w:rFonts w:cs="Arial"/>
          <w:szCs w:val="24"/>
        </w:rPr>
        <w:t xml:space="preserve">De sua parte, o ente público firmou convênio com o Hospital das Clínicas da Faculdade de Medicina da USP, para o desenvolvimento da avaliação de segurança e eficácia da Fosfoetanolamina Sintética em pacientes do ICESP (Doc. </w:t>
      </w:r>
      <w:proofErr w:type="gramStart"/>
      <w:r w:rsidR="004A6D5B">
        <w:rPr>
          <w:rFonts w:cs="Arial"/>
          <w:szCs w:val="24"/>
        </w:rPr>
        <w:t>2</w:t>
      </w:r>
      <w:proofErr w:type="gramEnd"/>
      <w:r w:rsidR="004A6D5B">
        <w:rPr>
          <w:rFonts w:cs="Arial"/>
          <w:szCs w:val="24"/>
        </w:rPr>
        <w:t xml:space="preserve">). </w:t>
      </w: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</w:p>
    <w:p w:rsidR="00AB2679" w:rsidRDefault="003A6F19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O Estado c</w:t>
      </w:r>
      <w:r w:rsidR="004A6D5B">
        <w:rPr>
          <w:rFonts w:cs="Arial"/>
          <w:szCs w:val="24"/>
        </w:rPr>
        <w:t xml:space="preserve">elebrou ainda contrato com a PDT Pharma, baseado em inexigibilidade de licitação, </w:t>
      </w:r>
      <w:r>
        <w:rPr>
          <w:rFonts w:cs="Arial"/>
          <w:szCs w:val="24"/>
        </w:rPr>
        <w:t xml:space="preserve">para aquisição da Fosfoetanolamina Sintética em quantitativo necessário para a realização da pesquisa clínica (Doc. </w:t>
      </w:r>
      <w:proofErr w:type="gramStart"/>
      <w:r>
        <w:rPr>
          <w:rFonts w:cs="Arial"/>
          <w:szCs w:val="24"/>
        </w:rPr>
        <w:t>3</w:t>
      </w:r>
      <w:proofErr w:type="gramEnd"/>
      <w:r>
        <w:rPr>
          <w:rFonts w:cs="Arial"/>
          <w:szCs w:val="24"/>
        </w:rPr>
        <w:t>).</w:t>
      </w: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Por fim, todos os partícipes desse processo firmaram um Acordo de Confidencialidade com o Prof. Gilberto </w:t>
      </w:r>
      <w:proofErr w:type="spellStart"/>
      <w:r>
        <w:rPr>
          <w:rFonts w:cs="Arial"/>
          <w:szCs w:val="24"/>
        </w:rPr>
        <w:t>Chierice</w:t>
      </w:r>
      <w:proofErr w:type="spellEnd"/>
      <w:r>
        <w:rPr>
          <w:rFonts w:cs="Arial"/>
          <w:szCs w:val="24"/>
        </w:rPr>
        <w:t xml:space="preserve">, de modo a preservar os direitos de propriedade intelectual que cercam a substância (Doc. </w:t>
      </w:r>
      <w:proofErr w:type="gramStart"/>
      <w:r>
        <w:rPr>
          <w:rFonts w:cs="Arial"/>
          <w:szCs w:val="24"/>
        </w:rPr>
        <w:t>4</w:t>
      </w:r>
      <w:proofErr w:type="gramEnd"/>
      <w:r>
        <w:rPr>
          <w:rFonts w:cs="Arial"/>
          <w:szCs w:val="24"/>
        </w:rPr>
        <w:t>).</w:t>
      </w: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Assim, todos</w:t>
      </w:r>
      <w:r w:rsidR="00225EBC">
        <w:rPr>
          <w:rFonts w:cs="Arial"/>
          <w:szCs w:val="24"/>
        </w:rPr>
        <w:t xml:space="preserve">, devidamente ajustados, </w:t>
      </w:r>
      <w:r>
        <w:rPr>
          <w:rFonts w:cs="Arial"/>
          <w:szCs w:val="24"/>
        </w:rPr>
        <w:t>assumiram seus respectivos papéis, com o objetivo único de realizar a pesquisa clínica com a Fosfoetanolamina Sintética, cabendo-lhes:</w:t>
      </w: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</w:p>
    <w:p w:rsidR="003A6F19" w:rsidRPr="008B6E3D" w:rsidRDefault="00225EBC" w:rsidP="008B6E3D">
      <w:pPr>
        <w:pStyle w:val="PargrafodaLista"/>
        <w:numPr>
          <w:ilvl w:val="0"/>
          <w:numId w:val="18"/>
        </w:numPr>
        <w:spacing w:line="360" w:lineRule="auto"/>
        <w:jc w:val="both"/>
        <w:rPr>
          <w:rFonts w:cs="Arial"/>
          <w:szCs w:val="24"/>
        </w:rPr>
      </w:pPr>
      <w:r w:rsidRPr="008B6E3D">
        <w:rPr>
          <w:rFonts w:cs="Arial"/>
          <w:szCs w:val="24"/>
        </w:rPr>
        <w:t>A</w:t>
      </w:r>
      <w:r w:rsidR="003A6F19" w:rsidRPr="008B6E3D">
        <w:rPr>
          <w:rFonts w:cs="Arial"/>
          <w:szCs w:val="24"/>
        </w:rPr>
        <w:t xml:space="preserve"> PDT Pharma</w:t>
      </w:r>
      <w:r w:rsidRPr="008B6E3D">
        <w:rPr>
          <w:rFonts w:cs="Arial"/>
          <w:szCs w:val="24"/>
        </w:rPr>
        <w:t xml:space="preserve"> assumiria </w:t>
      </w:r>
      <w:r w:rsidR="003A6F19" w:rsidRPr="008B6E3D">
        <w:rPr>
          <w:rFonts w:cs="Arial"/>
          <w:szCs w:val="24"/>
        </w:rPr>
        <w:t>a respons</w:t>
      </w:r>
      <w:r w:rsidRPr="008B6E3D">
        <w:rPr>
          <w:rFonts w:cs="Arial"/>
          <w:szCs w:val="24"/>
        </w:rPr>
        <w:t xml:space="preserve">abilidade </w:t>
      </w:r>
      <w:r w:rsidR="003A6F19" w:rsidRPr="008B6E3D">
        <w:rPr>
          <w:rFonts w:cs="Arial"/>
          <w:szCs w:val="24"/>
        </w:rPr>
        <w:t>pela síntese da substância</w:t>
      </w:r>
      <w:r w:rsidRPr="008B6E3D">
        <w:rPr>
          <w:rFonts w:cs="Arial"/>
          <w:szCs w:val="24"/>
        </w:rPr>
        <w:t xml:space="preserve">, </w:t>
      </w:r>
      <w:proofErr w:type="gramStart"/>
      <w:r w:rsidRPr="008B6E3D">
        <w:rPr>
          <w:rFonts w:cs="Arial"/>
          <w:szCs w:val="24"/>
        </w:rPr>
        <w:t>sob orientação</w:t>
      </w:r>
      <w:proofErr w:type="gramEnd"/>
      <w:r w:rsidRPr="008B6E3D">
        <w:rPr>
          <w:rFonts w:cs="Arial"/>
          <w:szCs w:val="24"/>
        </w:rPr>
        <w:t xml:space="preserve"> do técnico Salvador Claro Neto, com obediência às normas técnicas e sanitárias aplicáveis à espécie, encaminhando-a, na sequência, à FURP;</w:t>
      </w:r>
    </w:p>
    <w:p w:rsidR="00225EBC" w:rsidRDefault="00225EBC" w:rsidP="00AB2679">
      <w:pPr>
        <w:spacing w:line="360" w:lineRule="auto"/>
        <w:jc w:val="both"/>
        <w:rPr>
          <w:rFonts w:cs="Arial"/>
          <w:szCs w:val="24"/>
        </w:rPr>
      </w:pPr>
    </w:p>
    <w:p w:rsidR="004E6955" w:rsidRPr="008B6E3D" w:rsidRDefault="00225EBC" w:rsidP="008B6E3D">
      <w:pPr>
        <w:pStyle w:val="PargrafodaLista"/>
        <w:numPr>
          <w:ilvl w:val="0"/>
          <w:numId w:val="18"/>
        </w:numPr>
        <w:spacing w:line="360" w:lineRule="auto"/>
        <w:jc w:val="both"/>
        <w:rPr>
          <w:rFonts w:cs="Arial"/>
          <w:szCs w:val="24"/>
        </w:rPr>
      </w:pPr>
      <w:r w:rsidRPr="008B6E3D">
        <w:rPr>
          <w:rFonts w:cs="Arial"/>
          <w:szCs w:val="24"/>
        </w:rPr>
        <w:lastRenderedPageBreak/>
        <w:t>A FURP, laboratório oficial do Estado, seria a responsável pela recepção do sal</w:t>
      </w:r>
      <w:r w:rsidR="004E6955" w:rsidRPr="008B6E3D">
        <w:rPr>
          <w:rFonts w:cs="Arial"/>
          <w:szCs w:val="24"/>
        </w:rPr>
        <w:t>, dentro das regras técnicas e sanitárias vigentes, assim como por sua formulação galênica (encapsulamento na dosagem exata da substância), segundo técnica definida e aprovada pelo técnico Salvador Claro Neto.</w:t>
      </w:r>
    </w:p>
    <w:p w:rsidR="004E6955" w:rsidRDefault="004E6955" w:rsidP="00AB2679">
      <w:pPr>
        <w:spacing w:line="360" w:lineRule="auto"/>
        <w:jc w:val="both"/>
        <w:rPr>
          <w:rFonts w:cs="Arial"/>
          <w:szCs w:val="24"/>
        </w:rPr>
      </w:pPr>
    </w:p>
    <w:p w:rsidR="00225EBC" w:rsidRPr="008B6E3D" w:rsidRDefault="004E6955" w:rsidP="008B6E3D">
      <w:pPr>
        <w:pStyle w:val="PargrafodaLista"/>
        <w:numPr>
          <w:ilvl w:val="0"/>
          <w:numId w:val="18"/>
        </w:numPr>
        <w:spacing w:line="360" w:lineRule="auto"/>
        <w:jc w:val="both"/>
        <w:rPr>
          <w:rFonts w:cs="Arial"/>
          <w:szCs w:val="24"/>
        </w:rPr>
      </w:pPr>
      <w:r w:rsidRPr="008B6E3D">
        <w:rPr>
          <w:rFonts w:cs="Arial"/>
          <w:szCs w:val="24"/>
        </w:rPr>
        <w:t xml:space="preserve">De sua parte, o ICESP seria o responsável pela seleção dos pacientes voluntários e realização da pesquisa, com o objetivo de colher resultados sobre a segurança, farmacodinâmica e eficácia terapêutica da substância, em estrita obediência às licenças e protocolos de pesquisa previamente aprovados pela CEP – Comissão de Ética em Pesquisa e CONEP – Comissão Nacional de Ética em Pesquisa. </w:t>
      </w:r>
    </w:p>
    <w:p w:rsidR="004E6955" w:rsidRDefault="004E6955" w:rsidP="00AB2679">
      <w:pPr>
        <w:spacing w:line="360" w:lineRule="auto"/>
        <w:jc w:val="both"/>
        <w:rPr>
          <w:rFonts w:cs="Arial"/>
          <w:szCs w:val="24"/>
        </w:rPr>
      </w:pPr>
    </w:p>
    <w:p w:rsidR="004E6955" w:rsidRPr="008B6E3D" w:rsidRDefault="004E6955" w:rsidP="008B6E3D">
      <w:pPr>
        <w:pStyle w:val="PargrafodaLista"/>
        <w:numPr>
          <w:ilvl w:val="0"/>
          <w:numId w:val="18"/>
        </w:numPr>
        <w:spacing w:line="360" w:lineRule="auto"/>
        <w:jc w:val="both"/>
        <w:rPr>
          <w:rFonts w:cs="Arial"/>
          <w:szCs w:val="24"/>
        </w:rPr>
      </w:pPr>
      <w:r w:rsidRPr="008B6E3D">
        <w:rPr>
          <w:rFonts w:cs="Arial"/>
          <w:szCs w:val="24"/>
        </w:rPr>
        <w:t xml:space="preserve">Por fim, a Secretaria de Estado da Saúde, representante do Governo Estadual, </w:t>
      </w:r>
      <w:r w:rsidR="008B6E3D" w:rsidRPr="008B6E3D">
        <w:rPr>
          <w:rFonts w:cs="Arial"/>
          <w:szCs w:val="24"/>
        </w:rPr>
        <w:t xml:space="preserve">assumiria a função de </w:t>
      </w:r>
      <w:proofErr w:type="spellStart"/>
      <w:r w:rsidR="008B6E3D" w:rsidRPr="008B6E3D">
        <w:rPr>
          <w:rFonts w:cs="Arial"/>
          <w:i/>
          <w:szCs w:val="24"/>
        </w:rPr>
        <w:t>sponsor</w:t>
      </w:r>
      <w:proofErr w:type="spellEnd"/>
      <w:r w:rsidR="008B6E3D" w:rsidRPr="008B6E3D">
        <w:rPr>
          <w:rFonts w:cs="Arial"/>
          <w:szCs w:val="24"/>
        </w:rPr>
        <w:t>, o patrocinador e financiador da pesquisa, responsável por garantir a disponibilidade da Fosfoetanolamina Sintética para que tudo se realizasse dentro da programação aprovada, inclusive por CEP e CONEP.</w:t>
      </w:r>
    </w:p>
    <w:p w:rsidR="008B6E3D" w:rsidRDefault="008B6E3D" w:rsidP="00AB2679">
      <w:pPr>
        <w:spacing w:line="360" w:lineRule="auto"/>
        <w:jc w:val="both"/>
        <w:rPr>
          <w:rFonts w:cs="Arial"/>
          <w:szCs w:val="24"/>
        </w:rPr>
      </w:pPr>
    </w:p>
    <w:p w:rsidR="008B6E3D" w:rsidRDefault="008B6E3D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Para que bem se compreenda a dimensão das responsabilidades assumidas pelo ICESP, FURP e Secretaria da Saúde, a não realização, a interrupção ou erros na condução dos protocolos técnicos aprovados para a pesquisa clínica pode</w:t>
      </w:r>
      <w:r w:rsidR="00797FD9">
        <w:rPr>
          <w:rFonts w:cs="Arial"/>
          <w:szCs w:val="24"/>
        </w:rPr>
        <w:t>m</w:t>
      </w:r>
      <w:r>
        <w:rPr>
          <w:rFonts w:cs="Arial"/>
          <w:szCs w:val="24"/>
        </w:rPr>
        <w:t xml:space="preserve"> resultar em sanções a serem impostas por CEP e CONEP, com a proibição de realizar novas pesquisas ou delas participar. Seria, sem exagero de retórica, a morte institucional dess</w:t>
      </w:r>
      <w:r w:rsidR="00797FD9">
        <w:rPr>
          <w:rFonts w:cs="Arial"/>
          <w:szCs w:val="24"/>
        </w:rPr>
        <w:t>es órgãos públicos.</w:t>
      </w:r>
    </w:p>
    <w:p w:rsidR="00797FD9" w:rsidRDefault="00797FD9" w:rsidP="00AB2679">
      <w:pPr>
        <w:spacing w:line="360" w:lineRule="auto"/>
        <w:jc w:val="both"/>
        <w:rPr>
          <w:rFonts w:cs="Arial"/>
          <w:szCs w:val="24"/>
        </w:rPr>
      </w:pPr>
    </w:p>
    <w:p w:rsidR="00B9160B" w:rsidRDefault="00797FD9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80E50">
        <w:rPr>
          <w:rFonts w:cs="Arial"/>
          <w:szCs w:val="24"/>
        </w:rPr>
        <w:t>A despeito de tudo qu</w:t>
      </w:r>
      <w:r w:rsidR="00B9160B">
        <w:rPr>
          <w:rFonts w:cs="Arial"/>
          <w:szCs w:val="24"/>
        </w:rPr>
        <w:t>anto contratado e despendido</w:t>
      </w:r>
      <w:r w:rsidR="00080E50">
        <w:rPr>
          <w:rFonts w:cs="Arial"/>
          <w:szCs w:val="24"/>
        </w:rPr>
        <w:t>, o fornecimento da Fosfoetanolamina Sintática, em quantitativo adequado ao início da pesquisa</w:t>
      </w:r>
      <w:r w:rsidR="00B9160B">
        <w:rPr>
          <w:rFonts w:cs="Arial"/>
          <w:szCs w:val="24"/>
        </w:rPr>
        <w:t xml:space="preserve"> clínica</w:t>
      </w:r>
      <w:r w:rsidR="00080E50">
        <w:rPr>
          <w:rFonts w:cs="Arial"/>
          <w:szCs w:val="24"/>
        </w:rPr>
        <w:t xml:space="preserve">, acompanhada de laudos técnicos analíticos e </w:t>
      </w:r>
      <w:r w:rsidR="00080E50">
        <w:rPr>
          <w:rFonts w:cs="Arial"/>
          <w:szCs w:val="24"/>
        </w:rPr>
        <w:lastRenderedPageBreak/>
        <w:t xml:space="preserve">microbiológicos, dentro do cronograma preestabelecido, </w:t>
      </w:r>
      <w:r w:rsidR="0026705D">
        <w:rPr>
          <w:rFonts w:cs="Arial"/>
          <w:szCs w:val="24"/>
        </w:rPr>
        <w:t xml:space="preserve">teve um início </w:t>
      </w:r>
      <w:r w:rsidR="00080E50">
        <w:rPr>
          <w:rFonts w:cs="Arial"/>
          <w:szCs w:val="24"/>
        </w:rPr>
        <w:t>frustra</w:t>
      </w:r>
      <w:r w:rsidR="0026705D">
        <w:rPr>
          <w:rFonts w:cs="Arial"/>
          <w:szCs w:val="24"/>
        </w:rPr>
        <w:t>nte</w:t>
      </w:r>
      <w:r w:rsidR="00080E50">
        <w:rPr>
          <w:rFonts w:cs="Arial"/>
          <w:szCs w:val="24"/>
        </w:rPr>
        <w:t>.</w:t>
      </w:r>
      <w:r w:rsidR="00DF15B2">
        <w:rPr>
          <w:rFonts w:cs="Arial"/>
          <w:szCs w:val="24"/>
        </w:rPr>
        <w:t xml:space="preserve"> </w:t>
      </w:r>
      <w:r w:rsidR="00B9160B">
        <w:rPr>
          <w:rFonts w:cs="Arial"/>
          <w:szCs w:val="24"/>
        </w:rPr>
        <w:t>A PDT Pharma</w:t>
      </w:r>
      <w:r w:rsidR="00DF15B2">
        <w:rPr>
          <w:rFonts w:cs="Arial"/>
          <w:szCs w:val="24"/>
        </w:rPr>
        <w:t>, a par dos atrasos constantes n</w:t>
      </w:r>
      <w:r w:rsidR="00B9160B">
        <w:rPr>
          <w:rFonts w:cs="Arial"/>
          <w:szCs w:val="24"/>
        </w:rPr>
        <w:t>a entrega dos lotes de Fosfoetanolamina Sintética, também deixou de ofertar os laudos</w:t>
      </w:r>
      <w:r w:rsidR="00DF15B2">
        <w:rPr>
          <w:rFonts w:cs="Arial"/>
          <w:szCs w:val="24"/>
        </w:rPr>
        <w:t xml:space="preserve"> essenciais para a definição</w:t>
      </w:r>
      <w:r w:rsidR="0043532E">
        <w:rPr>
          <w:rFonts w:cs="Arial"/>
          <w:szCs w:val="24"/>
        </w:rPr>
        <w:t xml:space="preserve"> não só</w:t>
      </w:r>
      <w:r w:rsidR="00DF15B2">
        <w:rPr>
          <w:rFonts w:cs="Arial"/>
          <w:szCs w:val="24"/>
        </w:rPr>
        <w:t xml:space="preserve"> do que iria ser encapsulado</w:t>
      </w:r>
      <w:r w:rsidR="0043532E">
        <w:rPr>
          <w:rFonts w:cs="Arial"/>
          <w:szCs w:val="24"/>
        </w:rPr>
        <w:t>, mas principalmente d</w:t>
      </w:r>
      <w:r w:rsidR="00710380">
        <w:rPr>
          <w:rFonts w:cs="Arial"/>
          <w:szCs w:val="24"/>
        </w:rPr>
        <w:t>a necessária segurança sanitária</w:t>
      </w:r>
      <w:r w:rsidR="0043532E">
        <w:rPr>
          <w:rFonts w:cs="Arial"/>
          <w:szCs w:val="24"/>
        </w:rPr>
        <w:t xml:space="preserve"> para os pacientes, sujeitos da pesquisa clínica.</w:t>
      </w:r>
    </w:p>
    <w:p w:rsidR="001204F6" w:rsidRDefault="001204F6" w:rsidP="00AB2679">
      <w:pPr>
        <w:spacing w:line="360" w:lineRule="auto"/>
        <w:jc w:val="both"/>
        <w:rPr>
          <w:rFonts w:cs="Arial"/>
          <w:szCs w:val="24"/>
        </w:rPr>
      </w:pPr>
    </w:p>
    <w:p w:rsidR="001204F6" w:rsidRDefault="001204F6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A Ata da Reunião técnica, realizada na FURP em </w:t>
      </w:r>
      <w:proofErr w:type="gramStart"/>
      <w:r>
        <w:rPr>
          <w:rFonts w:cs="Arial"/>
          <w:szCs w:val="24"/>
        </w:rPr>
        <w:t>2</w:t>
      </w:r>
      <w:proofErr w:type="gramEnd"/>
      <w:r>
        <w:rPr>
          <w:rFonts w:cs="Arial"/>
          <w:szCs w:val="24"/>
        </w:rPr>
        <w:t xml:space="preserve"> de maio de 2016, com a presença de todos os atores interessados, comprova a assertiva</w:t>
      </w:r>
      <w:r w:rsidR="00CD173F">
        <w:rPr>
          <w:rFonts w:cs="Arial"/>
          <w:szCs w:val="24"/>
        </w:rPr>
        <w:t xml:space="preserve"> (Doc. 5).</w:t>
      </w:r>
    </w:p>
    <w:p w:rsidR="0043532E" w:rsidRDefault="0043532E" w:rsidP="00AB2679">
      <w:pPr>
        <w:spacing w:line="360" w:lineRule="auto"/>
        <w:jc w:val="both"/>
        <w:rPr>
          <w:rFonts w:cs="Arial"/>
          <w:szCs w:val="24"/>
        </w:rPr>
      </w:pPr>
    </w:p>
    <w:p w:rsidR="0043532E" w:rsidRDefault="0043532E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 tal ponto era a desinfor</w:t>
      </w:r>
      <w:r w:rsidR="00F02972">
        <w:rPr>
          <w:rFonts w:cs="Arial"/>
          <w:szCs w:val="24"/>
        </w:rPr>
        <w:t>m</w:t>
      </w:r>
      <w:r>
        <w:rPr>
          <w:rFonts w:cs="Arial"/>
          <w:szCs w:val="24"/>
        </w:rPr>
        <w:t>ação técn</w:t>
      </w:r>
      <w:r w:rsidR="00F02972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ca que cercava aquele composto que a sua validade, inicialmente estimada pelos donos do processo de </w:t>
      </w:r>
      <w:r w:rsidR="00F02972">
        <w:rPr>
          <w:rFonts w:cs="Arial"/>
          <w:szCs w:val="24"/>
        </w:rPr>
        <w:t xml:space="preserve">sistematização como sendo de </w:t>
      </w:r>
      <w:proofErr w:type="gramStart"/>
      <w:r w:rsidR="00F02972">
        <w:rPr>
          <w:rFonts w:cs="Arial"/>
          <w:szCs w:val="24"/>
        </w:rPr>
        <w:t>1</w:t>
      </w:r>
      <w:proofErr w:type="gramEnd"/>
      <w:r w:rsidR="00F02972">
        <w:rPr>
          <w:rFonts w:cs="Arial"/>
          <w:szCs w:val="24"/>
        </w:rPr>
        <w:t xml:space="preserve"> (um) ano, porque desamparado de melhores análises químicas, foi reduzida para 6 (seis) meses, na tentativa de emprestar maior segurança aqueles pacientes.</w:t>
      </w:r>
    </w:p>
    <w:p w:rsidR="00F02972" w:rsidRDefault="00F02972" w:rsidP="00AB2679">
      <w:pPr>
        <w:spacing w:line="360" w:lineRule="auto"/>
        <w:jc w:val="both"/>
        <w:rPr>
          <w:rFonts w:cs="Arial"/>
          <w:szCs w:val="24"/>
        </w:rPr>
      </w:pPr>
    </w:p>
    <w:p w:rsidR="00F02972" w:rsidRDefault="00F02972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1204F6">
        <w:rPr>
          <w:rFonts w:cs="Arial"/>
          <w:szCs w:val="24"/>
        </w:rPr>
        <w:t>A PDT Pharma, por conta disso, obrigou-se a realizar, obrigou-se a realizar através de uma sua contratada, a T&amp;E Analítica, de Campinas, as análises químicas de estabilidade dos lotes produzidos, de modo a indicar a real validade do composto.</w:t>
      </w:r>
    </w:p>
    <w:p w:rsidR="001204F6" w:rsidRDefault="001204F6" w:rsidP="00AB2679">
      <w:pPr>
        <w:spacing w:line="360" w:lineRule="auto"/>
        <w:jc w:val="both"/>
        <w:rPr>
          <w:rFonts w:cs="Arial"/>
          <w:szCs w:val="24"/>
        </w:rPr>
      </w:pPr>
    </w:p>
    <w:p w:rsidR="001204F6" w:rsidRDefault="001204F6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A par de tantos contratempos, a pesquisa clínica junto ao ICESP </w:t>
      </w:r>
      <w:r w:rsidR="00CD173F">
        <w:rPr>
          <w:rFonts w:cs="Arial"/>
          <w:szCs w:val="24"/>
        </w:rPr>
        <w:t xml:space="preserve">SÓ </w:t>
      </w:r>
      <w:r>
        <w:rPr>
          <w:rFonts w:cs="Arial"/>
          <w:szCs w:val="24"/>
        </w:rPr>
        <w:t>foi iniciada em 25 de julho de 2016.</w:t>
      </w:r>
    </w:p>
    <w:p w:rsidR="001204F6" w:rsidRDefault="001204F6" w:rsidP="00AB2679">
      <w:pPr>
        <w:spacing w:line="360" w:lineRule="auto"/>
        <w:jc w:val="both"/>
        <w:rPr>
          <w:rFonts w:cs="Arial"/>
          <w:szCs w:val="24"/>
        </w:rPr>
      </w:pPr>
    </w:p>
    <w:p w:rsidR="00CD173F" w:rsidRDefault="001204F6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Como informa o incluso ofício, subscrito pelo Diretor Geral do ICESP e investigador principal daquela pesquisa, Prof. </w:t>
      </w:r>
      <w:proofErr w:type="spellStart"/>
      <w:r>
        <w:rPr>
          <w:rFonts w:cs="Arial"/>
          <w:szCs w:val="24"/>
        </w:rPr>
        <w:t>Dr.Paulo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Hoff</w:t>
      </w:r>
      <w:proofErr w:type="spellEnd"/>
      <w:r>
        <w:rPr>
          <w:rFonts w:cs="Arial"/>
          <w:szCs w:val="24"/>
        </w:rPr>
        <w:t xml:space="preserve">, diante dos resultados </w:t>
      </w:r>
      <w:r w:rsidR="00CD173F">
        <w:rPr>
          <w:rFonts w:cs="Arial"/>
          <w:szCs w:val="24"/>
        </w:rPr>
        <w:t>pouco promissores d</w:t>
      </w:r>
      <w:r>
        <w:rPr>
          <w:rFonts w:cs="Arial"/>
          <w:szCs w:val="24"/>
        </w:rPr>
        <w:t xml:space="preserve">o estudo, </w:t>
      </w:r>
      <w:r w:rsidR="00CD173F">
        <w:rPr>
          <w:rFonts w:cs="Arial"/>
          <w:szCs w:val="24"/>
        </w:rPr>
        <w:t xml:space="preserve">em 31 de maio de 2017 </w:t>
      </w:r>
      <w:r>
        <w:rPr>
          <w:rFonts w:cs="Arial"/>
          <w:szCs w:val="24"/>
        </w:rPr>
        <w:t xml:space="preserve">foi suspensa </w:t>
      </w:r>
      <w:r w:rsidR="00CD173F">
        <w:rPr>
          <w:rFonts w:cs="Arial"/>
          <w:szCs w:val="24"/>
        </w:rPr>
        <w:t>a inclusão de novos pacientes.</w:t>
      </w:r>
    </w:p>
    <w:p w:rsidR="00CD173F" w:rsidRDefault="00CD173F" w:rsidP="00AB2679">
      <w:pPr>
        <w:spacing w:line="360" w:lineRule="auto"/>
        <w:jc w:val="both"/>
        <w:rPr>
          <w:rFonts w:cs="Arial"/>
          <w:szCs w:val="24"/>
        </w:rPr>
      </w:pPr>
    </w:p>
    <w:p w:rsidR="001204F6" w:rsidRDefault="00CD173F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 xml:space="preserve">Remanescem, no entanto, </w:t>
      </w:r>
      <w:proofErr w:type="gramStart"/>
      <w:r>
        <w:rPr>
          <w:rFonts w:cs="Arial"/>
          <w:b/>
          <w:szCs w:val="24"/>
        </w:rPr>
        <w:t>2</w:t>
      </w:r>
      <w:proofErr w:type="gramEnd"/>
      <w:r>
        <w:rPr>
          <w:rFonts w:cs="Arial"/>
          <w:b/>
          <w:szCs w:val="24"/>
        </w:rPr>
        <w:t xml:space="preserve"> (dois) pacientes ativos em tratamento com a Fosfoetanolamina Sintética</w:t>
      </w:r>
      <w:r>
        <w:rPr>
          <w:rFonts w:cs="Arial"/>
          <w:szCs w:val="24"/>
        </w:rPr>
        <w:t xml:space="preserve"> </w:t>
      </w:r>
    </w:p>
    <w:p w:rsidR="00080E50" w:rsidRPr="008B6E3D" w:rsidRDefault="00080E50" w:rsidP="00AB2679">
      <w:pPr>
        <w:spacing w:line="360" w:lineRule="auto"/>
        <w:jc w:val="both"/>
        <w:rPr>
          <w:rFonts w:cs="Arial"/>
          <w:szCs w:val="24"/>
        </w:rPr>
      </w:pP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</w:p>
    <w:p w:rsidR="003A6F19" w:rsidRDefault="003A6F19" w:rsidP="00AB2679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4A6D5B" w:rsidRPr="000326FF" w:rsidRDefault="004A6D5B" w:rsidP="00AB2679">
      <w:pPr>
        <w:spacing w:line="360" w:lineRule="auto"/>
        <w:jc w:val="both"/>
        <w:rPr>
          <w:rFonts w:cs="Arial"/>
          <w:szCs w:val="24"/>
        </w:rPr>
      </w:pPr>
    </w:p>
    <w:p w:rsidR="00657FAC" w:rsidRDefault="00657FAC" w:rsidP="002731C5">
      <w:pPr>
        <w:spacing w:line="360" w:lineRule="auto"/>
        <w:jc w:val="both"/>
        <w:rPr>
          <w:rFonts w:cs="Arial"/>
          <w:szCs w:val="24"/>
        </w:rPr>
      </w:pPr>
    </w:p>
    <w:p w:rsidR="00657FAC" w:rsidRDefault="00657FAC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proofErr w:type="spellStart"/>
      <w:proofErr w:type="gramStart"/>
      <w:r w:rsidRPr="002731C5">
        <w:rPr>
          <w:rFonts w:cs="Arial"/>
          <w:szCs w:val="24"/>
        </w:rPr>
        <w:t>omo</w:t>
      </w:r>
      <w:proofErr w:type="spellEnd"/>
      <w:proofErr w:type="gramEnd"/>
      <w:r w:rsidRPr="002731C5">
        <w:rPr>
          <w:rFonts w:cs="Arial"/>
          <w:szCs w:val="24"/>
        </w:rPr>
        <w:t xml:space="preserve"> é de conhecimento público, em decorrência da  intensa divulgação por todos os meios de comunicação e mídias sociais, que relatavam a cura de pacientes portadores de cânceres com a ingestão da denominada  “Fosfoetanolamina Sintética” e, ainda, diante das inúmeras obrigações judiciais impostas ao Estado de São Paulo para fornecimento da referida substância química à pacientes com a grave doença, submetendo-os a uma experimentação ilícita, posto que não havia nenhum amparo científico, tampouco acompanhamento médico para tal fornecimento, o Governo do Estado de São Paulo decidiu, em razão do Relevante Interesse Público, decorrente do caráter indisponível do direito à saúde, proceder à pesquisa clínica utilizando a substância química denominada “Fosfoetanolamina Sintética”, em pacientes com tumores sólidos avançados.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 xml:space="preserve">As informações disponibilizadas naquela oportunidade deixam claro que apenas o docente aposentado do Instituto de Química de São Carlos, Prof. Dr. Gilberto </w:t>
      </w:r>
      <w:proofErr w:type="spellStart"/>
      <w:r w:rsidRPr="002731C5">
        <w:rPr>
          <w:rFonts w:cs="Arial"/>
          <w:szCs w:val="24"/>
        </w:rPr>
        <w:t>Orivaldo</w:t>
      </w:r>
      <w:proofErr w:type="spellEnd"/>
      <w:r w:rsidRPr="002731C5">
        <w:rPr>
          <w:rFonts w:cs="Arial"/>
          <w:szCs w:val="24"/>
        </w:rPr>
        <w:t xml:space="preserve"> </w:t>
      </w:r>
      <w:proofErr w:type="spellStart"/>
      <w:r w:rsidRPr="002731C5">
        <w:rPr>
          <w:rFonts w:cs="Arial"/>
          <w:szCs w:val="24"/>
        </w:rPr>
        <w:t>Chierice</w:t>
      </w:r>
      <w:proofErr w:type="spellEnd"/>
      <w:r w:rsidRPr="002731C5">
        <w:rPr>
          <w:rFonts w:cs="Arial"/>
          <w:szCs w:val="24"/>
        </w:rPr>
        <w:t>, criador do processo de sintetização da fosfoetanolamina, e o técnico da USP Salvador Claro Neto, coproprietário dos respectivos pedidos de patentes, é que detinham os conhecimentos necessários para a produção da substância.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</w:t>
      </w:r>
      <w:r w:rsidRPr="002731C5">
        <w:rPr>
          <w:rFonts w:cs="Arial"/>
          <w:szCs w:val="24"/>
        </w:rPr>
        <w:t xml:space="preserve"> substância foi desenvolvida pelo Prof. Dr. Gilberto </w:t>
      </w:r>
      <w:proofErr w:type="spellStart"/>
      <w:r w:rsidRPr="002731C5">
        <w:rPr>
          <w:rFonts w:cs="Arial"/>
          <w:szCs w:val="24"/>
        </w:rPr>
        <w:t>Orivaldo</w:t>
      </w:r>
      <w:proofErr w:type="spellEnd"/>
      <w:r w:rsidRPr="002731C5">
        <w:rPr>
          <w:rFonts w:cs="Arial"/>
          <w:szCs w:val="24"/>
        </w:rPr>
        <w:t xml:space="preserve"> </w:t>
      </w:r>
      <w:proofErr w:type="spellStart"/>
      <w:r w:rsidRPr="002731C5">
        <w:rPr>
          <w:rFonts w:cs="Arial"/>
          <w:szCs w:val="24"/>
        </w:rPr>
        <w:t>Chierice</w:t>
      </w:r>
      <w:proofErr w:type="spellEnd"/>
      <w:r w:rsidRPr="002731C5">
        <w:rPr>
          <w:rFonts w:cs="Arial"/>
          <w:szCs w:val="24"/>
        </w:rPr>
        <w:t xml:space="preserve">, em conjunto com o técnico Salvador Claro Neto, sem o </w:t>
      </w:r>
      <w:r w:rsidRPr="002731C5">
        <w:rPr>
          <w:rFonts w:cs="Arial"/>
          <w:szCs w:val="24"/>
        </w:rPr>
        <w:lastRenderedPageBreak/>
        <w:t xml:space="preserve">consentimento da Universidade de São Paulo, o que por certo deve ter motivado a abertura de procedimento disciplinar em face do Sr. Salvador Claro Neto, haja vista que o Prof. Gilberto O. </w:t>
      </w:r>
      <w:proofErr w:type="spellStart"/>
      <w:r w:rsidRPr="002731C5">
        <w:rPr>
          <w:rFonts w:cs="Arial"/>
          <w:szCs w:val="24"/>
        </w:rPr>
        <w:t>Chierice</w:t>
      </w:r>
      <w:proofErr w:type="spellEnd"/>
      <w:r w:rsidRPr="002731C5">
        <w:rPr>
          <w:rFonts w:cs="Arial"/>
          <w:szCs w:val="24"/>
        </w:rPr>
        <w:t>, à época já estava na condição de aposentado pela Universidade.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 xml:space="preserve">O Governo do Estado de São Paulo, por meio desta Secretaria da Saúde, envidou todos os esforços administrativos para iniciar a Pesquisa Clínica, tanto que em 23.12.2015 celebrou com o Prof. Dr. Gilberto O. </w:t>
      </w:r>
      <w:proofErr w:type="spellStart"/>
      <w:r w:rsidRPr="002731C5">
        <w:rPr>
          <w:rFonts w:cs="Arial"/>
          <w:szCs w:val="24"/>
        </w:rPr>
        <w:t>Chierice</w:t>
      </w:r>
      <w:proofErr w:type="spellEnd"/>
      <w:r w:rsidRPr="002731C5">
        <w:rPr>
          <w:rFonts w:cs="Arial"/>
          <w:szCs w:val="24"/>
        </w:rPr>
        <w:t>,</w:t>
      </w:r>
      <w:proofErr w:type="gramStart"/>
      <w:r w:rsidRPr="002731C5">
        <w:rPr>
          <w:rFonts w:cs="Arial"/>
          <w:szCs w:val="24"/>
        </w:rPr>
        <w:t xml:space="preserve">  </w:t>
      </w:r>
      <w:proofErr w:type="gramEnd"/>
      <w:r w:rsidRPr="002731C5">
        <w:rPr>
          <w:rFonts w:cs="Arial"/>
          <w:szCs w:val="24"/>
        </w:rPr>
        <w:t>Termo de Cessão de Uso  (</w:t>
      </w:r>
      <w:r w:rsidRPr="002731C5">
        <w:rPr>
          <w:rFonts w:cs="Arial"/>
          <w:b/>
          <w:szCs w:val="24"/>
        </w:rPr>
        <w:t>DOC. 01</w:t>
      </w:r>
      <w:r w:rsidRPr="002731C5">
        <w:rPr>
          <w:rFonts w:cs="Arial"/>
          <w:szCs w:val="24"/>
        </w:rPr>
        <w:t>).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O</w:t>
      </w:r>
      <w:r w:rsidRPr="002731C5">
        <w:rPr>
          <w:rFonts w:cs="Arial"/>
          <w:szCs w:val="24"/>
        </w:rPr>
        <w:t xml:space="preserve"> INSTITUTO DO CÂNCER DO ESTADO DE SÃO PAULO “ARNALDO FRIAS DE OLIVEIRA”- ICESP, enquanto centro de excelência e promotor do ensino, da pesquisa e da assistência médico-hospitalar na área do câncer, de acordo com os princípios definidos pelo Sistema Único de Saúde (SUS), visando contribuir com a saúde e a qualidade de vida da sociedade, foi escolhido pelo Governador do Estado como a</w:t>
      </w:r>
      <w:proofErr w:type="gramStart"/>
      <w:r w:rsidRPr="002731C5">
        <w:rPr>
          <w:rFonts w:cs="Arial"/>
          <w:szCs w:val="24"/>
        </w:rPr>
        <w:t xml:space="preserve">  </w:t>
      </w:r>
      <w:proofErr w:type="gramEnd"/>
      <w:r w:rsidRPr="002731C5">
        <w:rPr>
          <w:rFonts w:cs="Arial"/>
          <w:szCs w:val="24"/>
        </w:rPr>
        <w:t>instituição responsável para o desenvolvimento da mencionada pesquisa clínica, respeitando às normas preconizadas pela Comissão Nacional de Ética em Pesquisa – CONEP e ministrou em pacientes por ele elegíveis a substância denominada “Fosfoetanolamina Sintética”. Ocorre que remanescem da referida pesquisa ainda 02 (dois) pacientes. Para a realização da pesquisa a SES celebrou em 09.06.2016 o Convênio nº 180/2016</w:t>
      </w:r>
      <w:proofErr w:type="gramStart"/>
      <w:r w:rsidRPr="002731C5">
        <w:rPr>
          <w:rFonts w:cs="Arial"/>
          <w:szCs w:val="24"/>
        </w:rPr>
        <w:t xml:space="preserve">  </w:t>
      </w:r>
      <w:proofErr w:type="gramEnd"/>
      <w:r w:rsidRPr="002731C5">
        <w:rPr>
          <w:rFonts w:cs="Arial"/>
          <w:szCs w:val="24"/>
        </w:rPr>
        <w:t>(</w:t>
      </w:r>
      <w:r w:rsidRPr="002731C5">
        <w:rPr>
          <w:rFonts w:cs="Arial"/>
          <w:b/>
          <w:szCs w:val="24"/>
        </w:rPr>
        <w:t>DOC. 02</w:t>
      </w:r>
      <w:r w:rsidRPr="002731C5">
        <w:rPr>
          <w:rFonts w:cs="Arial"/>
          <w:szCs w:val="24"/>
        </w:rPr>
        <w:t>)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P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 xml:space="preserve">Percorridos os trâmites administrativos e após exaustivas tratativas pesquisador da referida substância química, a PDT PHARMA INDÚSTRIA E COMÉRCIO DE PRODUTOS FAMACÊUTICOS LTDA, foi o laboratório escolhido pelo Prof. Dr. Gilberto </w:t>
      </w:r>
      <w:proofErr w:type="spellStart"/>
      <w:r w:rsidRPr="002731C5">
        <w:rPr>
          <w:rFonts w:cs="Arial"/>
          <w:szCs w:val="24"/>
        </w:rPr>
        <w:t>Orivaldo</w:t>
      </w:r>
      <w:proofErr w:type="spellEnd"/>
      <w:r w:rsidRPr="002731C5">
        <w:rPr>
          <w:rFonts w:cs="Arial"/>
          <w:szCs w:val="24"/>
        </w:rPr>
        <w:t xml:space="preserve"> </w:t>
      </w:r>
      <w:proofErr w:type="spellStart"/>
      <w:r w:rsidRPr="002731C5">
        <w:rPr>
          <w:rFonts w:cs="Arial"/>
          <w:szCs w:val="24"/>
        </w:rPr>
        <w:t>Chierice</w:t>
      </w:r>
      <w:proofErr w:type="spellEnd"/>
      <w:r w:rsidRPr="002731C5">
        <w:rPr>
          <w:rFonts w:cs="Arial"/>
          <w:szCs w:val="24"/>
        </w:rPr>
        <w:t xml:space="preserve">, para ser o </w:t>
      </w:r>
      <w:proofErr w:type="spellStart"/>
      <w:r w:rsidRPr="002731C5">
        <w:rPr>
          <w:rFonts w:cs="Arial"/>
          <w:i/>
          <w:szCs w:val="24"/>
        </w:rPr>
        <w:t>locus</w:t>
      </w:r>
      <w:proofErr w:type="spellEnd"/>
      <w:r w:rsidRPr="002731C5">
        <w:rPr>
          <w:rFonts w:cs="Arial"/>
          <w:szCs w:val="24"/>
        </w:rPr>
        <w:t xml:space="preserve"> onde se produziu o insumo </w:t>
      </w:r>
      <w:proofErr w:type="spellStart"/>
      <w:r w:rsidRPr="002731C5">
        <w:rPr>
          <w:rFonts w:cs="Arial"/>
          <w:szCs w:val="24"/>
        </w:rPr>
        <w:t>farmoquímico</w:t>
      </w:r>
      <w:proofErr w:type="spellEnd"/>
      <w:r w:rsidRPr="002731C5">
        <w:rPr>
          <w:rFonts w:cs="Arial"/>
          <w:szCs w:val="24"/>
        </w:rPr>
        <w:t xml:space="preserve"> denominado “Fosfoetanolamina Sintética”, necessário à realização, unicamente, da pesquisa clínica a ser desenvolvida pelo ICESP.  Nesse sentido a SES contratou referida empresa, </w:t>
      </w:r>
      <w:r w:rsidRPr="002731C5">
        <w:rPr>
          <w:rFonts w:cs="Arial"/>
          <w:szCs w:val="24"/>
        </w:rPr>
        <w:lastRenderedPageBreak/>
        <w:t>conforme consta do Contrato nº 23/2016, extraído dos autos do Processo nº 001.0001.001.197/2016, objetivando o fornecimento de “Fosfoetanolamina Sintética” (</w:t>
      </w:r>
      <w:r w:rsidRPr="002731C5">
        <w:rPr>
          <w:rFonts w:cs="Arial"/>
          <w:b/>
          <w:szCs w:val="24"/>
        </w:rPr>
        <w:t>DOC. 03</w:t>
      </w:r>
      <w:r w:rsidRPr="002731C5">
        <w:rPr>
          <w:rFonts w:cs="Arial"/>
          <w:szCs w:val="24"/>
        </w:rPr>
        <w:t>).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>A FUNDAÇÃO PARA O REMÉDIO POPULAR “CHOPIN TAVARES DE LIMA” - FURP foi o laboratório farmacêutico oficial do Governo do Estado de São Paulo, vinculado à Secretaria de Estado da Saúde de São Paulo responsável pela formulação galênica da “Fosfoetanolamina Sintética”, utilizada pelo ICESP na pesquisa clínica.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>Acordo de Confidencialidade foi assinado entre as partes (</w:t>
      </w:r>
      <w:r w:rsidRPr="002731C5">
        <w:rPr>
          <w:rFonts w:cs="Arial"/>
          <w:b/>
          <w:szCs w:val="24"/>
        </w:rPr>
        <w:t>DOC. 04</w:t>
      </w:r>
      <w:proofErr w:type="gramStart"/>
      <w:r w:rsidRPr="002731C5">
        <w:rPr>
          <w:rFonts w:cs="Arial"/>
          <w:szCs w:val="24"/>
        </w:rPr>
        <w:t>)</w:t>
      </w:r>
      <w:proofErr w:type="gramEnd"/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O</w:t>
      </w:r>
      <w:r w:rsidRPr="002731C5">
        <w:rPr>
          <w:rFonts w:cs="Arial"/>
          <w:szCs w:val="24"/>
        </w:rPr>
        <w:t xml:space="preserve">corre que desde o dia 02.05.2016, conforme constou de Ata de Reunião, realizada na FURP, com a presença da PDT PHARMA, do Sr. Salvador Claro Neto esta Secretaria, na qualidade de Contratante, aguarda, consubstanciado na regulação sanitária de atendimento às Boas Práticas de Fabricação, que a Contratada entregue o Laudo Técnico das análises físico-químicas e microbiológicas dos lotes em estudo de estabilidade, sendo que, naquela ocasião a PDT PHARMA informou que: i) “irá realizar teste de estabilidade dos três primeiros lotes industriais, em entanto, os detentores da patente passaram à mesma os resultados dos estudos realizados por eles, através de método </w:t>
      </w:r>
      <w:proofErr w:type="spellStart"/>
      <w:r w:rsidRPr="002731C5">
        <w:rPr>
          <w:rFonts w:cs="Arial"/>
          <w:szCs w:val="24"/>
        </w:rPr>
        <w:t>termoanalíticos</w:t>
      </w:r>
      <w:proofErr w:type="spellEnd"/>
      <w:r w:rsidRPr="002731C5">
        <w:rPr>
          <w:rFonts w:cs="Arial"/>
          <w:szCs w:val="24"/>
        </w:rPr>
        <w:t xml:space="preserve"> (TG/DTG/DTA), concluindo que o composto se mantém estável após </w:t>
      </w:r>
      <w:proofErr w:type="gramStart"/>
      <w:r w:rsidRPr="002731C5">
        <w:rPr>
          <w:rFonts w:cs="Arial"/>
          <w:szCs w:val="24"/>
        </w:rPr>
        <w:t>1</w:t>
      </w:r>
      <w:proofErr w:type="gramEnd"/>
      <w:r w:rsidRPr="002731C5">
        <w:rPr>
          <w:rFonts w:cs="Arial"/>
          <w:szCs w:val="24"/>
        </w:rPr>
        <w:t xml:space="preserve"> (um anos) de estocagem.” e </w:t>
      </w:r>
      <w:proofErr w:type="spellStart"/>
      <w:r w:rsidRPr="002731C5">
        <w:rPr>
          <w:rFonts w:cs="Arial"/>
          <w:szCs w:val="24"/>
        </w:rPr>
        <w:t>ii</w:t>
      </w:r>
      <w:proofErr w:type="spellEnd"/>
      <w:r w:rsidRPr="002731C5">
        <w:rPr>
          <w:rFonts w:cs="Arial"/>
          <w:szCs w:val="24"/>
        </w:rPr>
        <w:t xml:space="preserve">) contrataria “a empresa T&amp;E </w:t>
      </w:r>
      <w:proofErr w:type="spellStart"/>
      <w:r w:rsidRPr="002731C5">
        <w:rPr>
          <w:rFonts w:cs="Arial"/>
          <w:szCs w:val="24"/>
        </w:rPr>
        <w:t>Análitica</w:t>
      </w:r>
      <w:proofErr w:type="spellEnd"/>
      <w:r w:rsidRPr="002731C5">
        <w:rPr>
          <w:rFonts w:cs="Arial"/>
          <w:szCs w:val="24"/>
        </w:rPr>
        <w:t>, em Campinas, para realizar estas análises” e que a previsão era até o dia 30 de maio de 2016 para entrega de “todo o processo documental- laudo técnico e de fabricação de 70 mil unidades farmacotécnicas da substância”  (</w:t>
      </w:r>
      <w:r w:rsidRPr="002731C5">
        <w:rPr>
          <w:rFonts w:cs="Arial"/>
          <w:b/>
          <w:szCs w:val="24"/>
        </w:rPr>
        <w:t>DOC. 05</w:t>
      </w:r>
      <w:r w:rsidRPr="002731C5">
        <w:rPr>
          <w:rFonts w:cs="Arial"/>
          <w:szCs w:val="24"/>
        </w:rPr>
        <w:t>).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>A FURP desde 17.06.2016 até o dia 10.11.2017 encaminhou à PDT PHARMA amostras do composto encapsulado para realização do estudo de extensão do prazo de validade, conforme consta da relação (</w:t>
      </w:r>
      <w:r w:rsidRPr="002731C5">
        <w:rPr>
          <w:rFonts w:cs="Arial"/>
          <w:b/>
          <w:szCs w:val="24"/>
        </w:rPr>
        <w:t>DOC. 06</w:t>
      </w:r>
      <w:r w:rsidRPr="002731C5">
        <w:rPr>
          <w:rFonts w:cs="Arial"/>
          <w:szCs w:val="24"/>
        </w:rPr>
        <w:t>) e até o momento</w:t>
      </w:r>
      <w:proofErr w:type="gramStart"/>
      <w:r w:rsidRPr="002731C5">
        <w:rPr>
          <w:rFonts w:cs="Arial"/>
          <w:szCs w:val="24"/>
        </w:rPr>
        <w:t xml:space="preserve">  </w:t>
      </w:r>
      <w:proofErr w:type="gramEnd"/>
      <w:r w:rsidRPr="002731C5">
        <w:rPr>
          <w:rFonts w:cs="Arial"/>
          <w:szCs w:val="24"/>
        </w:rPr>
        <w:t>nem ela, tampouco esta SES recebeu os estudos conclusivos solicitados.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>Embora divulgado em 31.03.2017 a suspensão de ingressos de novos pacientes na Pesquisa Clínica realizada pelo ICESP, com a utilização da substância denominada “Fosfoetanolamina Sintética”, a verdade, conforme mencionado anteriormente,</w:t>
      </w:r>
      <w:proofErr w:type="gramStart"/>
      <w:r w:rsidRPr="002731C5">
        <w:rPr>
          <w:rFonts w:cs="Arial"/>
          <w:szCs w:val="24"/>
        </w:rPr>
        <w:t xml:space="preserve">  </w:t>
      </w:r>
      <w:proofErr w:type="gramEnd"/>
      <w:r w:rsidRPr="002731C5">
        <w:rPr>
          <w:rFonts w:cs="Arial"/>
          <w:szCs w:val="24"/>
        </w:rPr>
        <w:t>é que ainda remanescem 02 (dois) pacientes no Protocolo de Pesquisa.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 xml:space="preserve">Várias e inúmeras foram </w:t>
      </w:r>
      <w:proofErr w:type="gramStart"/>
      <w:r w:rsidRPr="002731C5">
        <w:rPr>
          <w:rFonts w:cs="Arial"/>
          <w:szCs w:val="24"/>
        </w:rPr>
        <w:t>as</w:t>
      </w:r>
      <w:proofErr w:type="gramEnd"/>
      <w:r w:rsidRPr="002731C5">
        <w:rPr>
          <w:rFonts w:cs="Arial"/>
          <w:szCs w:val="24"/>
        </w:rPr>
        <w:t xml:space="preserve"> tratativas e tentativas para obtenção dos laudos, conforme demonstram os inúmeras mensagens eletrônicas trocadas entre esta SES, por meio da sua Coordenadoria de Assistência Farmacêutica – CAF e a FURP com a PDT PHARMA (</w:t>
      </w:r>
      <w:r w:rsidRPr="002731C5">
        <w:rPr>
          <w:rFonts w:cs="Arial"/>
          <w:b/>
          <w:szCs w:val="24"/>
        </w:rPr>
        <w:t>DOC. 07),</w:t>
      </w:r>
      <w:r w:rsidRPr="002731C5">
        <w:rPr>
          <w:rFonts w:cs="Arial"/>
        </w:rPr>
        <w:t xml:space="preserve"> </w:t>
      </w:r>
      <w:r w:rsidRPr="002731C5">
        <w:rPr>
          <w:rFonts w:cs="Arial"/>
          <w:szCs w:val="24"/>
        </w:rPr>
        <w:t>solicitando a entrega dos Laudos Técnicos contendo as análises físico-químicas e microbiológicas  dos lotes em estudo de estabilidade, bem como do de extensão do prazo de validade de referidos lotes</w:t>
      </w:r>
      <w:r w:rsidRPr="002731C5">
        <w:rPr>
          <w:rFonts w:cs="Arial"/>
          <w:b/>
          <w:szCs w:val="24"/>
        </w:rPr>
        <w:t>, sem que se tenha obtido o laudo conclusivo de estabilidade e validade da substância.</w:t>
      </w:r>
    </w:p>
    <w:p w:rsidR="002731C5" w:rsidRDefault="002731C5" w:rsidP="002731C5">
      <w:pPr>
        <w:spacing w:line="360" w:lineRule="auto"/>
        <w:jc w:val="both"/>
        <w:rPr>
          <w:rFonts w:cs="Arial"/>
          <w:b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2731C5">
        <w:rPr>
          <w:rFonts w:cs="Arial"/>
          <w:szCs w:val="24"/>
        </w:rPr>
        <w:t>Releva destacar que o ICESP, na qualidade de Instituição incumbida da realização da Pesquisa Clínica,</w:t>
      </w:r>
      <w:proofErr w:type="gramStart"/>
      <w:r w:rsidRPr="002731C5">
        <w:rPr>
          <w:rFonts w:cs="Arial"/>
          <w:szCs w:val="24"/>
        </w:rPr>
        <w:t xml:space="preserve">  </w:t>
      </w:r>
      <w:proofErr w:type="gramEnd"/>
      <w:r w:rsidRPr="002731C5">
        <w:rPr>
          <w:rFonts w:cs="Arial"/>
          <w:szCs w:val="24"/>
        </w:rPr>
        <w:t xml:space="preserve">é guardião de aproximadamente 900 (novecentas) cápsulas do composto denominado “Fosfoetanolamina Sintética” - que não foram utilizadas pelos pacientes que estavam no Protocolo da Pesquisa Clínica, em razão do resultado apresentado para os mesmos não ter sido o esperado-,  e que estão com sua validade em vias de vencimento, haja vista que até o momento a PDT PHARMA não apresentou os documentos necessários para comprovação da estabilidade de seus componentes, ou seja, não demonstrou que o mesmo perdeu sua validade, tampouco asseverou a </w:t>
      </w:r>
      <w:r w:rsidRPr="002731C5">
        <w:rPr>
          <w:rFonts w:cs="Arial"/>
          <w:szCs w:val="24"/>
        </w:rPr>
        <w:lastRenderedPageBreak/>
        <w:t>extensão da mesma. Os documentos até o momento apresentados não são conclusivos e apresentam inconsistências técnicas, conforme assevera a FURP (</w:t>
      </w:r>
      <w:r w:rsidRPr="002731C5">
        <w:rPr>
          <w:rFonts w:cs="Arial"/>
          <w:b/>
          <w:szCs w:val="24"/>
        </w:rPr>
        <w:t>DOC. 08</w:t>
      </w:r>
      <w:proofErr w:type="gramStart"/>
      <w:r w:rsidRPr="002731C5">
        <w:rPr>
          <w:rFonts w:cs="Arial"/>
          <w:szCs w:val="24"/>
        </w:rPr>
        <w:t>)</w:t>
      </w:r>
      <w:proofErr w:type="gramEnd"/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>Sem enveredar por questões legais que por certo será com propriedade contextualizada por essa Procuradoria Geral do Estado, esta Secretaria entende que o Contrato nº 23/2016, objetivou o fornecimento da substância para a realização da Pesquisa Clínica desenvolvida pelo ICESP, assim, embora adstrito à vigência do respectivo crédito orçamentário, é, pela sua especificidade, um ajuste híbrido, na medida em que se trata de escopo determinado, e, portanto, perdura a obrigação enquanto perdurar a</w:t>
      </w:r>
      <w:proofErr w:type="gramStart"/>
      <w:r w:rsidRPr="002731C5">
        <w:rPr>
          <w:rFonts w:cs="Arial"/>
          <w:szCs w:val="24"/>
        </w:rPr>
        <w:t xml:space="preserve">  </w:t>
      </w:r>
      <w:proofErr w:type="gramEnd"/>
      <w:r w:rsidRPr="002731C5">
        <w:rPr>
          <w:rFonts w:cs="Arial"/>
          <w:szCs w:val="24"/>
        </w:rPr>
        <w:t>Pesquisa Clínica realizada pelo ICESP, o que significa dizer que todas as obrigações a que se sujeitou a PDT PHARMA para o cumprimento da prestação de fornecimento da substância continuam vigentes, porém, mesmo que não seja esse o entendimento jurídico que se apresente pacífico, nenhum óbice de natureza legal impede à SES a celebração de novo ajuste com a PDT PHARMA, por inexigibilidade de licitação, para o fornecimento de quantitativo necessário da substância, até que se ultime a Pesquisa Clínica.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>Conforme pode ser aquilatado na correspondência eletrônica expedida pela CAF em 16.01.2018, à PDT PHARMA, foi solicitado o fornecimento de 10 (dez) quilos da substância ”Fosfoetanolamina Sintética” para atender aos 02 pacientes que ainda remanescem no Protocolo do Estudo Clínico realizado pelo ICESP (</w:t>
      </w:r>
      <w:r w:rsidRPr="002731C5">
        <w:rPr>
          <w:rFonts w:cs="Arial"/>
          <w:b/>
          <w:szCs w:val="24"/>
        </w:rPr>
        <w:t>DOC. 09</w:t>
      </w:r>
      <w:r w:rsidRPr="002731C5">
        <w:rPr>
          <w:rFonts w:cs="Arial"/>
          <w:szCs w:val="24"/>
        </w:rPr>
        <w:t>).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 xml:space="preserve">Em correspondência datada de 22.01.2018, A PDT PHARMA informa que: i) o valor total para o fornecimento de 10 quilos da substância no valor total de R$ 44.900,00 (quarenta e quatro mil e novecentos reais); </w:t>
      </w:r>
      <w:proofErr w:type="spellStart"/>
      <w:proofErr w:type="gramStart"/>
      <w:r w:rsidRPr="002731C5">
        <w:rPr>
          <w:rFonts w:cs="Arial"/>
          <w:szCs w:val="24"/>
        </w:rPr>
        <w:t>ii</w:t>
      </w:r>
      <w:proofErr w:type="spellEnd"/>
      <w:proofErr w:type="gramEnd"/>
      <w:r w:rsidRPr="002731C5">
        <w:rPr>
          <w:rFonts w:cs="Arial"/>
          <w:szCs w:val="24"/>
        </w:rPr>
        <w:t>)  há estoque de 2,745 quilos da substância “</w:t>
      </w:r>
      <w:r w:rsidRPr="002731C5">
        <w:rPr>
          <w:rFonts w:cs="Arial"/>
          <w:b/>
          <w:szCs w:val="24"/>
        </w:rPr>
        <w:t xml:space="preserve">Fosfoetanolamina Sintética”, fabricada em 28.04.2017, com vencimento em 28.04.2018; </w:t>
      </w:r>
      <w:proofErr w:type="spellStart"/>
      <w:r w:rsidRPr="002731C5">
        <w:rPr>
          <w:rFonts w:cs="Arial"/>
          <w:b/>
          <w:szCs w:val="24"/>
        </w:rPr>
        <w:t>iii</w:t>
      </w:r>
      <w:proofErr w:type="spellEnd"/>
      <w:r w:rsidRPr="002731C5">
        <w:rPr>
          <w:rFonts w:cs="Arial"/>
          <w:b/>
          <w:szCs w:val="24"/>
        </w:rPr>
        <w:t xml:space="preserve">) </w:t>
      </w:r>
      <w:r w:rsidRPr="002731C5">
        <w:rPr>
          <w:rFonts w:cs="Arial"/>
          <w:b/>
          <w:szCs w:val="24"/>
        </w:rPr>
        <w:lastRenderedPageBreak/>
        <w:t xml:space="preserve">que não tem até o momento, “... apesar de solicitado por NOTIFICAÇÃO EXTRAJUDICIAL... autorização do prof. Dr. Gilberto O. </w:t>
      </w:r>
      <w:proofErr w:type="spellStart"/>
      <w:r w:rsidRPr="002731C5">
        <w:rPr>
          <w:rFonts w:cs="Arial"/>
          <w:b/>
          <w:szCs w:val="24"/>
        </w:rPr>
        <w:t>Cheirice</w:t>
      </w:r>
      <w:proofErr w:type="spellEnd"/>
      <w:r w:rsidRPr="002731C5">
        <w:rPr>
          <w:rFonts w:cs="Arial"/>
          <w:b/>
          <w:szCs w:val="24"/>
        </w:rPr>
        <w:t>, para produzir novo Lote da Substância. Sem essa autorização não podemos produzir,... Da parte da empresa, estamos com todas as condições a postos para que se produza a substância que se demanda, mas dependemos dessa autorização para produzir um novo lote de 10 quilos.</w:t>
      </w:r>
      <w:r w:rsidRPr="002731C5">
        <w:rPr>
          <w:rFonts w:cs="Arial"/>
          <w:szCs w:val="24"/>
        </w:rPr>
        <w:t>” (</w:t>
      </w:r>
      <w:proofErr w:type="spellStart"/>
      <w:r w:rsidRPr="002731C5">
        <w:rPr>
          <w:rFonts w:cs="Arial"/>
          <w:szCs w:val="24"/>
        </w:rPr>
        <w:t>g.n</w:t>
      </w:r>
      <w:proofErr w:type="spellEnd"/>
      <w:r w:rsidRPr="002731C5">
        <w:rPr>
          <w:rFonts w:cs="Arial"/>
          <w:szCs w:val="24"/>
        </w:rPr>
        <w:t>) (</w:t>
      </w:r>
      <w:r w:rsidRPr="002731C5">
        <w:rPr>
          <w:rFonts w:cs="Arial"/>
          <w:b/>
          <w:szCs w:val="24"/>
        </w:rPr>
        <w:t>DOC. 10</w:t>
      </w:r>
      <w:r w:rsidRPr="002731C5">
        <w:rPr>
          <w:rFonts w:cs="Arial"/>
          <w:szCs w:val="24"/>
        </w:rPr>
        <w:t>).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 xml:space="preserve">Em mensagem eletrônica datada de 24.01.2018, às </w:t>
      </w:r>
      <w:proofErr w:type="gramStart"/>
      <w:r w:rsidRPr="002731C5">
        <w:rPr>
          <w:rFonts w:cs="Arial"/>
          <w:szCs w:val="24"/>
        </w:rPr>
        <w:t>19:14</w:t>
      </w:r>
      <w:proofErr w:type="gramEnd"/>
      <w:r w:rsidRPr="002731C5">
        <w:rPr>
          <w:rFonts w:cs="Arial"/>
          <w:szCs w:val="24"/>
        </w:rPr>
        <w:t xml:space="preserve"> </w:t>
      </w:r>
      <w:proofErr w:type="spellStart"/>
      <w:r w:rsidRPr="002731C5">
        <w:rPr>
          <w:rFonts w:cs="Arial"/>
          <w:szCs w:val="24"/>
        </w:rPr>
        <w:t>hs</w:t>
      </w:r>
      <w:proofErr w:type="spellEnd"/>
      <w:r w:rsidRPr="002731C5">
        <w:rPr>
          <w:rFonts w:cs="Arial"/>
          <w:szCs w:val="24"/>
        </w:rPr>
        <w:t>, a PDT PHARMA , por seu representante legal, assevera a esta pasta que “Sobre a possibilidade de revalidação dos prazos de vencimentos, dependemos da análise, com método validado, em processamento pela empresa T&amp;E, ... que aprazou a data de entrega de laudos para 05.02 e 11.02. De posse desses laudos, remos analisar os resultados que temos, e submete-los aos detentores da patente, para que opinem quanto a possibilidade de revalidação de prazo de vencimento”(sic)- (</w:t>
      </w:r>
      <w:proofErr w:type="spellStart"/>
      <w:r w:rsidRPr="002731C5">
        <w:rPr>
          <w:rFonts w:cs="Arial"/>
          <w:szCs w:val="24"/>
        </w:rPr>
        <w:t>g.n</w:t>
      </w:r>
      <w:proofErr w:type="spellEnd"/>
      <w:r w:rsidRPr="002731C5">
        <w:rPr>
          <w:rFonts w:cs="Arial"/>
          <w:szCs w:val="24"/>
        </w:rPr>
        <w:t>) (</w:t>
      </w:r>
      <w:r w:rsidRPr="002731C5">
        <w:rPr>
          <w:rFonts w:cs="Arial"/>
          <w:b/>
          <w:szCs w:val="24"/>
        </w:rPr>
        <w:t>DOC. 11</w:t>
      </w:r>
      <w:r w:rsidRPr="002731C5">
        <w:rPr>
          <w:rFonts w:cs="Arial"/>
          <w:szCs w:val="24"/>
        </w:rPr>
        <w:t>).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 xml:space="preserve">A PDT PHARMA encaminha à CAF em 06.01.2018 informações sobre o estudo de estabilidade e em 09.02.2018, também por meio eletrônico assevera entendimento de que com os documentos encaminhados a FURP </w:t>
      </w:r>
      <w:proofErr w:type="gramStart"/>
      <w:r w:rsidRPr="002731C5">
        <w:rPr>
          <w:rFonts w:cs="Arial"/>
          <w:szCs w:val="24"/>
        </w:rPr>
        <w:t>“poderá fazer considerações acerca da</w:t>
      </w:r>
      <w:proofErr w:type="gramEnd"/>
      <w:r w:rsidRPr="002731C5">
        <w:rPr>
          <w:rFonts w:cs="Arial"/>
          <w:szCs w:val="24"/>
        </w:rPr>
        <w:t xml:space="preserve"> validade das cápsulas á luz da RDC 45 (Estudo de Estabilidade) e RE 01 de julho de m2005 (Prazo de Validade) (</w:t>
      </w:r>
      <w:r w:rsidRPr="002731C5">
        <w:rPr>
          <w:rFonts w:cs="Arial"/>
          <w:b/>
          <w:szCs w:val="24"/>
        </w:rPr>
        <w:t>DOCS. 12 e 13</w:t>
      </w:r>
      <w:r w:rsidRPr="002731C5">
        <w:rPr>
          <w:rFonts w:cs="Arial"/>
          <w:szCs w:val="24"/>
        </w:rPr>
        <w:t>). Esquece a PDT PHARMA que essas obrigações são dela, nos termos das normas sanitárias vigentes.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>A FURP analisando os documentos encaminhados pela PDT PHARMA atesta haver inconsistências que não permitem concluir nem a estabilidade, tampouco a validade da substância encapsulada (</w:t>
      </w:r>
      <w:r w:rsidRPr="002731C5">
        <w:rPr>
          <w:rFonts w:cs="Arial"/>
          <w:b/>
          <w:szCs w:val="24"/>
        </w:rPr>
        <w:t>DOC. 14</w:t>
      </w:r>
      <w:r w:rsidRPr="002731C5">
        <w:rPr>
          <w:rFonts w:cs="Arial"/>
          <w:szCs w:val="24"/>
        </w:rPr>
        <w:t>).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2731C5">
        <w:rPr>
          <w:rFonts w:cs="Arial"/>
          <w:szCs w:val="24"/>
        </w:rPr>
        <w:t>O ICESP, por seu turno aponta a existência de 02 (dois) pacientes que remanescem na Pesquisa e a necessidade de dar continuidade à mesma, em razão das normas preconizadas pelo CONEP (</w:t>
      </w:r>
      <w:r w:rsidRPr="002731C5">
        <w:rPr>
          <w:rFonts w:cs="Arial"/>
          <w:b/>
          <w:szCs w:val="24"/>
        </w:rPr>
        <w:t>DOC. 15</w:t>
      </w:r>
      <w:r w:rsidRPr="002731C5">
        <w:rPr>
          <w:rFonts w:cs="Arial"/>
          <w:szCs w:val="24"/>
        </w:rPr>
        <w:t>).</w:t>
      </w:r>
    </w:p>
    <w:p w:rsidR="002731C5" w:rsidRDefault="002731C5" w:rsidP="002731C5">
      <w:pPr>
        <w:spacing w:line="360" w:lineRule="auto"/>
        <w:jc w:val="both"/>
        <w:rPr>
          <w:rFonts w:cs="Arial"/>
          <w:szCs w:val="24"/>
        </w:rPr>
      </w:pPr>
    </w:p>
    <w:p w:rsidR="002731C5" w:rsidRPr="002731C5" w:rsidRDefault="002731C5" w:rsidP="002731C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N</w:t>
      </w:r>
      <w:r w:rsidRPr="002731C5">
        <w:rPr>
          <w:rFonts w:cs="Arial"/>
          <w:szCs w:val="24"/>
        </w:rPr>
        <w:t>esse cenário e diante da recusa textual da PDT PHARMA em fornecer 10 (dez) quilos da substância denominada “Fosfoetanolamina Sintética”, considerando que remanescem</w:t>
      </w:r>
      <w:proofErr w:type="gramStart"/>
      <w:r w:rsidRPr="002731C5">
        <w:rPr>
          <w:rFonts w:cs="Arial"/>
          <w:szCs w:val="24"/>
        </w:rPr>
        <w:t xml:space="preserve">  </w:t>
      </w:r>
      <w:proofErr w:type="gramEnd"/>
      <w:r w:rsidRPr="002731C5">
        <w:rPr>
          <w:rFonts w:cs="Arial"/>
          <w:szCs w:val="24"/>
        </w:rPr>
        <w:t xml:space="preserve">02 (dois) pacientes na Pesquisa Clínica que objetiva a “AVALIAÇÃO DA SEGURANÇA E EFICÁCIA DA FOSFOETANOLAMINA SINTÉTICA EM PACIENTES COM TUMORES SÓLIDOS AVANÇADOS” ,  esta Secretaria requer a esta D. Procuradoria Geral do Estado a adoção de providências processuais urgentes que imponham à PDT PHARMA a obrigação de fornecer, no prazo de 48 (quarenta e oito) horas, na FURP, os 10 (dez) quilos da substância denominada “Fosfoetanolamina Sintética,  para conclusão da Pesquisa Clínica que está sendo realizada pelo ICESP, sem olvidar das providências administrativas e judiciais a que se submeteu referida empresa. </w:t>
      </w: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5816EC" w:rsidRDefault="005816EC" w:rsidP="00420A09">
      <w:pPr>
        <w:spacing w:line="360" w:lineRule="auto"/>
        <w:jc w:val="both"/>
        <w:rPr>
          <w:szCs w:val="24"/>
        </w:rPr>
      </w:pPr>
    </w:p>
    <w:p w:rsidR="00F80A50" w:rsidRDefault="00F80A50" w:rsidP="00420A09">
      <w:pPr>
        <w:spacing w:line="360" w:lineRule="auto"/>
        <w:jc w:val="both"/>
        <w:rPr>
          <w:szCs w:val="24"/>
        </w:rPr>
      </w:pPr>
    </w:p>
    <w:p w:rsidR="00F80A50" w:rsidRDefault="00F80A50" w:rsidP="00420A09">
      <w:pPr>
        <w:spacing w:line="360" w:lineRule="auto"/>
        <w:jc w:val="both"/>
        <w:rPr>
          <w:szCs w:val="24"/>
        </w:rPr>
      </w:pPr>
    </w:p>
    <w:p w:rsidR="00F80A50" w:rsidRDefault="00F80A50" w:rsidP="00420A09">
      <w:pPr>
        <w:spacing w:line="360" w:lineRule="auto"/>
        <w:jc w:val="both"/>
        <w:rPr>
          <w:szCs w:val="24"/>
        </w:rPr>
      </w:pPr>
    </w:p>
    <w:p w:rsidR="00F80A50" w:rsidRDefault="00F80A50" w:rsidP="00420A09">
      <w:pPr>
        <w:spacing w:line="360" w:lineRule="auto"/>
        <w:jc w:val="both"/>
        <w:rPr>
          <w:szCs w:val="24"/>
        </w:rPr>
      </w:pPr>
    </w:p>
    <w:p w:rsidR="001C147A" w:rsidRDefault="001C147A" w:rsidP="00024062">
      <w:pPr>
        <w:spacing w:line="360" w:lineRule="auto"/>
        <w:jc w:val="both"/>
        <w:rPr>
          <w:rFonts w:cs="Arial"/>
          <w:szCs w:val="24"/>
        </w:rPr>
      </w:pPr>
    </w:p>
    <w:p w:rsidR="001C147A" w:rsidRDefault="001C147A" w:rsidP="00024062">
      <w:pPr>
        <w:spacing w:line="360" w:lineRule="auto"/>
        <w:jc w:val="both"/>
        <w:rPr>
          <w:rFonts w:cs="Arial"/>
          <w:szCs w:val="24"/>
        </w:rPr>
      </w:pPr>
    </w:p>
    <w:p w:rsidR="001C147A" w:rsidRDefault="001C147A" w:rsidP="001C147A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LUIIZ DUARTE DE OLIVEIRA</w:t>
      </w:r>
    </w:p>
    <w:p w:rsidR="001C147A" w:rsidRDefault="001C147A" w:rsidP="001C147A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Procurador do Estado de São Paulo</w:t>
      </w:r>
    </w:p>
    <w:p w:rsidR="001C147A" w:rsidRDefault="001C147A" w:rsidP="001C147A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Coordenador Judicial de Saúde Pública</w:t>
      </w:r>
    </w:p>
    <w:p w:rsidR="001C147A" w:rsidRDefault="001C147A" w:rsidP="00024062">
      <w:pPr>
        <w:spacing w:line="360" w:lineRule="auto"/>
        <w:jc w:val="both"/>
        <w:rPr>
          <w:rFonts w:cs="Arial"/>
          <w:szCs w:val="24"/>
        </w:rPr>
      </w:pPr>
    </w:p>
    <w:p w:rsidR="001C147A" w:rsidRDefault="001C147A" w:rsidP="00024062">
      <w:pPr>
        <w:spacing w:line="360" w:lineRule="auto"/>
        <w:jc w:val="both"/>
        <w:rPr>
          <w:rFonts w:cs="Arial"/>
          <w:szCs w:val="24"/>
        </w:rPr>
      </w:pPr>
    </w:p>
    <w:sectPr w:rsidR="001C147A" w:rsidSect="00AB44A9">
      <w:headerReference w:type="default" r:id="rId9"/>
      <w:footerReference w:type="even" r:id="rId10"/>
      <w:footerReference w:type="default" r:id="rId11"/>
      <w:pgSz w:w="11907" w:h="16840" w:code="9"/>
      <w:pgMar w:top="1701" w:right="1418" w:bottom="1418" w:left="1985" w:header="85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04" w:rsidRDefault="00DE5804">
      <w:r>
        <w:separator/>
      </w:r>
    </w:p>
  </w:endnote>
  <w:endnote w:type="continuationSeparator" w:id="0">
    <w:p w:rsidR="00DE5804" w:rsidRDefault="00DE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10 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86" w:rsidRDefault="00516D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D86" w:rsidRDefault="00516D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86" w:rsidRDefault="00516D8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04" w:rsidRDefault="00DE5804">
      <w:r>
        <w:separator/>
      </w:r>
    </w:p>
  </w:footnote>
  <w:footnote w:type="continuationSeparator" w:id="0">
    <w:p w:rsidR="00DE5804" w:rsidRDefault="00DE5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D86" w:rsidRDefault="004E0293" w:rsidP="001229AB">
    <w:pPr>
      <w:framePr w:hSpace="141" w:wrap="around" w:vAnchor="text" w:hAnchor="page" w:x="1885" w:y="64"/>
    </w:pPr>
    <w:r>
      <w:rPr>
        <w:noProof/>
      </w:rPr>
      <w:drawing>
        <wp:inline distT="0" distB="0" distL="0" distR="0">
          <wp:extent cx="1076325" cy="11906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6D86" w:rsidRDefault="00516D86">
    <w:pPr>
      <w:pStyle w:val="Cabealho"/>
    </w:pPr>
  </w:p>
  <w:p w:rsidR="00516D86" w:rsidRDefault="00516D86">
    <w:pPr>
      <w:pStyle w:val="Cabealho"/>
    </w:pPr>
  </w:p>
  <w:p w:rsidR="00516D86" w:rsidRPr="00AB44A9" w:rsidRDefault="00516D86" w:rsidP="001229AB">
    <w:pPr>
      <w:pStyle w:val="Cabealho"/>
      <w:jc w:val="center"/>
      <w:rPr>
        <w:b/>
        <w:sz w:val="34"/>
        <w:szCs w:val="34"/>
      </w:rPr>
    </w:pPr>
    <w:r>
      <w:rPr>
        <w:b/>
        <w:sz w:val="34"/>
        <w:szCs w:val="34"/>
      </w:rPr>
      <w:t xml:space="preserve">             </w:t>
    </w:r>
    <w:r w:rsidRPr="00AB44A9">
      <w:rPr>
        <w:b/>
        <w:sz w:val="34"/>
        <w:szCs w:val="34"/>
      </w:rPr>
      <w:t>PROCURADORIA GERAL DO ESTADO</w:t>
    </w:r>
  </w:p>
  <w:p w:rsidR="00516D86" w:rsidRDefault="00516D86" w:rsidP="001229AB">
    <w:pPr>
      <w:pStyle w:val="Cabealho"/>
      <w:jc w:val="center"/>
      <w:rPr>
        <w:b/>
        <w:szCs w:val="24"/>
      </w:rPr>
    </w:pPr>
    <w:r>
      <w:rPr>
        <w:b/>
        <w:szCs w:val="24"/>
      </w:rPr>
      <w:t xml:space="preserve">            COORDENADORIA JUDICIAL DE SAÚDE PÚBLICA</w:t>
    </w:r>
  </w:p>
  <w:p w:rsidR="00516D86" w:rsidRDefault="00516D86" w:rsidP="001229AB">
    <w:pPr>
      <w:pStyle w:val="Cabealho"/>
      <w:jc w:val="center"/>
      <w:rPr>
        <w:b/>
        <w:sz w:val="20"/>
      </w:rPr>
    </w:pPr>
    <w:r>
      <w:rPr>
        <w:b/>
        <w:sz w:val="20"/>
      </w:rPr>
      <w:t xml:space="preserve">           Rua </w:t>
    </w:r>
    <w:r w:rsidR="0043773A">
      <w:rPr>
        <w:b/>
        <w:sz w:val="20"/>
      </w:rPr>
      <w:t>Maria Paula</w:t>
    </w:r>
    <w:r>
      <w:rPr>
        <w:b/>
        <w:sz w:val="20"/>
      </w:rPr>
      <w:t xml:space="preserve">, n.º </w:t>
    </w:r>
    <w:r w:rsidR="0043773A">
      <w:rPr>
        <w:b/>
        <w:sz w:val="20"/>
      </w:rPr>
      <w:t>6</w:t>
    </w:r>
    <w:r>
      <w:rPr>
        <w:b/>
        <w:sz w:val="20"/>
      </w:rPr>
      <w:t>7, 1</w:t>
    </w:r>
    <w:r w:rsidR="0043773A">
      <w:rPr>
        <w:b/>
        <w:sz w:val="20"/>
      </w:rPr>
      <w:t>2</w:t>
    </w:r>
    <w:r>
      <w:rPr>
        <w:b/>
        <w:sz w:val="20"/>
      </w:rPr>
      <w:t>.º andar, SP.</w:t>
    </w:r>
  </w:p>
  <w:p w:rsidR="00516D86" w:rsidRDefault="00516D86" w:rsidP="001229AB">
    <w:pPr>
      <w:pStyle w:val="Cabealho"/>
      <w:rPr>
        <w:b/>
        <w:sz w:val="20"/>
      </w:rPr>
    </w:pPr>
    <w:r>
      <w:rPr>
        <w:b/>
        <w:sz w:val="20"/>
      </w:rPr>
      <w:t xml:space="preserve">                                                                 Telefone: 3</w:t>
    </w:r>
    <w:r w:rsidR="0043773A">
      <w:rPr>
        <w:b/>
        <w:sz w:val="20"/>
      </w:rPr>
      <w:t>1</w:t>
    </w:r>
    <w:r w:rsidR="001415A3">
      <w:rPr>
        <w:b/>
        <w:sz w:val="20"/>
      </w:rPr>
      <w:t>3</w:t>
    </w:r>
    <w:r w:rsidR="0043773A">
      <w:rPr>
        <w:b/>
        <w:sz w:val="20"/>
      </w:rPr>
      <w:t>0-</w:t>
    </w:r>
    <w:r w:rsidR="001415A3">
      <w:rPr>
        <w:b/>
        <w:sz w:val="20"/>
      </w:rPr>
      <w:t>9249</w:t>
    </w:r>
  </w:p>
  <w:p w:rsidR="00516D86" w:rsidRDefault="00516D86">
    <w:pPr>
      <w:pStyle w:val="Cabealho"/>
      <w:jc w:val="center"/>
    </w:pPr>
  </w:p>
  <w:p w:rsidR="00516D86" w:rsidRDefault="00516D8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5D4"/>
    <w:multiLevelType w:val="hybridMultilevel"/>
    <w:tmpl w:val="EE7823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C49C7"/>
    <w:multiLevelType w:val="hybridMultilevel"/>
    <w:tmpl w:val="23444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65DDE"/>
    <w:multiLevelType w:val="multilevel"/>
    <w:tmpl w:val="D5BA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06234"/>
    <w:multiLevelType w:val="multilevel"/>
    <w:tmpl w:val="8004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E5FB0"/>
    <w:multiLevelType w:val="hybridMultilevel"/>
    <w:tmpl w:val="DC124EF4"/>
    <w:lvl w:ilvl="0" w:tplc="0416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5">
    <w:nsid w:val="0FF2789C"/>
    <w:multiLevelType w:val="hybridMultilevel"/>
    <w:tmpl w:val="956CB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C147B"/>
    <w:multiLevelType w:val="hybridMultilevel"/>
    <w:tmpl w:val="0588A5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E5781"/>
    <w:multiLevelType w:val="hybridMultilevel"/>
    <w:tmpl w:val="215ADB0A"/>
    <w:lvl w:ilvl="0" w:tplc="04160011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4A63757"/>
    <w:multiLevelType w:val="hybridMultilevel"/>
    <w:tmpl w:val="E1E83424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D60B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155A5F"/>
    <w:multiLevelType w:val="hybridMultilevel"/>
    <w:tmpl w:val="52781D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2E16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8EB039F"/>
    <w:multiLevelType w:val="hybridMultilevel"/>
    <w:tmpl w:val="81F03D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95B36"/>
    <w:multiLevelType w:val="hybridMultilevel"/>
    <w:tmpl w:val="F6B63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1212C"/>
    <w:multiLevelType w:val="hybridMultilevel"/>
    <w:tmpl w:val="82823B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21FE5"/>
    <w:multiLevelType w:val="hybridMultilevel"/>
    <w:tmpl w:val="A15E2D1C"/>
    <w:lvl w:ilvl="0" w:tplc="041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>
    <w:nsid w:val="6CFF44F0"/>
    <w:multiLevelType w:val="hybridMultilevel"/>
    <w:tmpl w:val="30662752"/>
    <w:lvl w:ilvl="0" w:tplc="E6481154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75981692"/>
    <w:multiLevelType w:val="hybridMultilevel"/>
    <w:tmpl w:val="0ED6A23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CB5775B"/>
    <w:multiLevelType w:val="multilevel"/>
    <w:tmpl w:val="430E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13"/>
  </w:num>
  <w:num w:numId="6">
    <w:abstractNumId w:val="16"/>
  </w:num>
  <w:num w:numId="7">
    <w:abstractNumId w:val="14"/>
  </w:num>
  <w:num w:numId="8">
    <w:abstractNumId w:val="4"/>
  </w:num>
  <w:num w:numId="9">
    <w:abstractNumId w:val="3"/>
  </w:num>
  <w:num w:numId="10">
    <w:abstractNumId w:val="17"/>
  </w:num>
  <w:num w:numId="11">
    <w:abstractNumId w:val="2"/>
  </w:num>
  <w:num w:numId="12">
    <w:abstractNumId w:val="1"/>
  </w:num>
  <w:num w:numId="13">
    <w:abstractNumId w:val="11"/>
  </w:num>
  <w:num w:numId="14">
    <w:abstractNumId w:val="6"/>
  </w:num>
  <w:num w:numId="15">
    <w:abstractNumId w:val="5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Pet - JAL.doc"/>
    <w:docVar w:name="DocID" w:val="70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16697"/>
    <w:rsid w:val="00020F42"/>
    <w:rsid w:val="00022394"/>
    <w:rsid w:val="00024062"/>
    <w:rsid w:val="00025389"/>
    <w:rsid w:val="00070404"/>
    <w:rsid w:val="00077CD1"/>
    <w:rsid w:val="00080E50"/>
    <w:rsid w:val="00084FD1"/>
    <w:rsid w:val="000A54AD"/>
    <w:rsid w:val="000C538A"/>
    <w:rsid w:val="000D1E75"/>
    <w:rsid w:val="000E1CDE"/>
    <w:rsid w:val="000E309F"/>
    <w:rsid w:val="000F1B86"/>
    <w:rsid w:val="000F5DB1"/>
    <w:rsid w:val="00101277"/>
    <w:rsid w:val="0011491D"/>
    <w:rsid w:val="001168A0"/>
    <w:rsid w:val="001204F6"/>
    <w:rsid w:val="001229AB"/>
    <w:rsid w:val="00132A00"/>
    <w:rsid w:val="00133245"/>
    <w:rsid w:val="001415A3"/>
    <w:rsid w:val="00177132"/>
    <w:rsid w:val="00183193"/>
    <w:rsid w:val="00186DDC"/>
    <w:rsid w:val="001C147A"/>
    <w:rsid w:val="001E0351"/>
    <w:rsid w:val="00204F69"/>
    <w:rsid w:val="0022068F"/>
    <w:rsid w:val="00225EBC"/>
    <w:rsid w:val="00230874"/>
    <w:rsid w:val="00230909"/>
    <w:rsid w:val="00235C69"/>
    <w:rsid w:val="0025795C"/>
    <w:rsid w:val="0026705D"/>
    <w:rsid w:val="00271DC4"/>
    <w:rsid w:val="002731C5"/>
    <w:rsid w:val="0027550D"/>
    <w:rsid w:val="00276FDF"/>
    <w:rsid w:val="00293FC7"/>
    <w:rsid w:val="002956D3"/>
    <w:rsid w:val="002A34BE"/>
    <w:rsid w:val="002B782E"/>
    <w:rsid w:val="002C0E40"/>
    <w:rsid w:val="002C3735"/>
    <w:rsid w:val="002D7981"/>
    <w:rsid w:val="002F2C9E"/>
    <w:rsid w:val="00303785"/>
    <w:rsid w:val="0030597D"/>
    <w:rsid w:val="0031334F"/>
    <w:rsid w:val="00334BBC"/>
    <w:rsid w:val="00340BC9"/>
    <w:rsid w:val="00342538"/>
    <w:rsid w:val="00361075"/>
    <w:rsid w:val="00364DD8"/>
    <w:rsid w:val="00366407"/>
    <w:rsid w:val="003727DE"/>
    <w:rsid w:val="003A1B1B"/>
    <w:rsid w:val="003A4317"/>
    <w:rsid w:val="003A6F19"/>
    <w:rsid w:val="003B4F2B"/>
    <w:rsid w:val="003B5CD5"/>
    <w:rsid w:val="003C1C9F"/>
    <w:rsid w:val="003D3CD7"/>
    <w:rsid w:val="003D69DA"/>
    <w:rsid w:val="003E22B1"/>
    <w:rsid w:val="003E4A05"/>
    <w:rsid w:val="003F5FC6"/>
    <w:rsid w:val="00400BD4"/>
    <w:rsid w:val="00420A09"/>
    <w:rsid w:val="00422F71"/>
    <w:rsid w:val="00432E12"/>
    <w:rsid w:val="00433A91"/>
    <w:rsid w:val="0043532E"/>
    <w:rsid w:val="0043773A"/>
    <w:rsid w:val="004408C2"/>
    <w:rsid w:val="004805B8"/>
    <w:rsid w:val="004A6D5B"/>
    <w:rsid w:val="004B1859"/>
    <w:rsid w:val="004C6792"/>
    <w:rsid w:val="004E00CE"/>
    <w:rsid w:val="004E0293"/>
    <w:rsid w:val="004E6955"/>
    <w:rsid w:val="004F51F0"/>
    <w:rsid w:val="00505EC6"/>
    <w:rsid w:val="0051442A"/>
    <w:rsid w:val="00516D86"/>
    <w:rsid w:val="0051704F"/>
    <w:rsid w:val="00537ED6"/>
    <w:rsid w:val="00572AA1"/>
    <w:rsid w:val="00574BB5"/>
    <w:rsid w:val="005816EC"/>
    <w:rsid w:val="005910EF"/>
    <w:rsid w:val="00596B05"/>
    <w:rsid w:val="005971DB"/>
    <w:rsid w:val="005B0208"/>
    <w:rsid w:val="005C4C10"/>
    <w:rsid w:val="005F6C63"/>
    <w:rsid w:val="0063693E"/>
    <w:rsid w:val="00641A76"/>
    <w:rsid w:val="00641A77"/>
    <w:rsid w:val="006565F5"/>
    <w:rsid w:val="00657FAC"/>
    <w:rsid w:val="00665F5A"/>
    <w:rsid w:val="006672C1"/>
    <w:rsid w:val="00670EEE"/>
    <w:rsid w:val="006840E6"/>
    <w:rsid w:val="00686E22"/>
    <w:rsid w:val="0069165F"/>
    <w:rsid w:val="0069798F"/>
    <w:rsid w:val="006A486B"/>
    <w:rsid w:val="006C2A84"/>
    <w:rsid w:val="006C3D08"/>
    <w:rsid w:val="006E6762"/>
    <w:rsid w:val="006F2B34"/>
    <w:rsid w:val="00710380"/>
    <w:rsid w:val="007111B0"/>
    <w:rsid w:val="0072189D"/>
    <w:rsid w:val="00726D10"/>
    <w:rsid w:val="00736333"/>
    <w:rsid w:val="007739DD"/>
    <w:rsid w:val="007814B4"/>
    <w:rsid w:val="00797FD9"/>
    <w:rsid w:val="007C5146"/>
    <w:rsid w:val="007C740F"/>
    <w:rsid w:val="007E2D3E"/>
    <w:rsid w:val="00804366"/>
    <w:rsid w:val="00806E8D"/>
    <w:rsid w:val="00821874"/>
    <w:rsid w:val="00825286"/>
    <w:rsid w:val="008279CE"/>
    <w:rsid w:val="00861861"/>
    <w:rsid w:val="008778DD"/>
    <w:rsid w:val="00881DD3"/>
    <w:rsid w:val="008872A1"/>
    <w:rsid w:val="00887FAF"/>
    <w:rsid w:val="0089100B"/>
    <w:rsid w:val="008B6E3D"/>
    <w:rsid w:val="008C023E"/>
    <w:rsid w:val="008C0E80"/>
    <w:rsid w:val="008C419B"/>
    <w:rsid w:val="008D344E"/>
    <w:rsid w:val="008D515B"/>
    <w:rsid w:val="008F30A3"/>
    <w:rsid w:val="00903A87"/>
    <w:rsid w:val="0091167D"/>
    <w:rsid w:val="00914E58"/>
    <w:rsid w:val="00920D4A"/>
    <w:rsid w:val="0093124D"/>
    <w:rsid w:val="009550A4"/>
    <w:rsid w:val="00960F2C"/>
    <w:rsid w:val="00973BC5"/>
    <w:rsid w:val="00990D26"/>
    <w:rsid w:val="00994F2B"/>
    <w:rsid w:val="00996429"/>
    <w:rsid w:val="009A5C64"/>
    <w:rsid w:val="009B3633"/>
    <w:rsid w:val="009C7092"/>
    <w:rsid w:val="009C7FA7"/>
    <w:rsid w:val="009D1FE5"/>
    <w:rsid w:val="009E43C0"/>
    <w:rsid w:val="009E5B80"/>
    <w:rsid w:val="009F2725"/>
    <w:rsid w:val="00A0338A"/>
    <w:rsid w:val="00A04743"/>
    <w:rsid w:val="00A06465"/>
    <w:rsid w:val="00A56084"/>
    <w:rsid w:val="00A65A7C"/>
    <w:rsid w:val="00A931D9"/>
    <w:rsid w:val="00AA2898"/>
    <w:rsid w:val="00AA3BDF"/>
    <w:rsid w:val="00AA72E3"/>
    <w:rsid w:val="00AB2679"/>
    <w:rsid w:val="00AB44A9"/>
    <w:rsid w:val="00AD21E5"/>
    <w:rsid w:val="00AD601F"/>
    <w:rsid w:val="00AE6DB9"/>
    <w:rsid w:val="00AF1566"/>
    <w:rsid w:val="00B16697"/>
    <w:rsid w:val="00B438E7"/>
    <w:rsid w:val="00B55A97"/>
    <w:rsid w:val="00B6620D"/>
    <w:rsid w:val="00B734EE"/>
    <w:rsid w:val="00B80C05"/>
    <w:rsid w:val="00B825A1"/>
    <w:rsid w:val="00B9160B"/>
    <w:rsid w:val="00BA78E4"/>
    <w:rsid w:val="00BB0AF6"/>
    <w:rsid w:val="00BB72AB"/>
    <w:rsid w:val="00BC0886"/>
    <w:rsid w:val="00BC0F74"/>
    <w:rsid w:val="00BD7217"/>
    <w:rsid w:val="00BE2010"/>
    <w:rsid w:val="00C10BC3"/>
    <w:rsid w:val="00C12C04"/>
    <w:rsid w:val="00C173B8"/>
    <w:rsid w:val="00C22792"/>
    <w:rsid w:val="00C2708C"/>
    <w:rsid w:val="00C43CC3"/>
    <w:rsid w:val="00C53572"/>
    <w:rsid w:val="00C61896"/>
    <w:rsid w:val="00C7357E"/>
    <w:rsid w:val="00C745C2"/>
    <w:rsid w:val="00C77B88"/>
    <w:rsid w:val="00C800AF"/>
    <w:rsid w:val="00C964A4"/>
    <w:rsid w:val="00CA14C1"/>
    <w:rsid w:val="00CA7875"/>
    <w:rsid w:val="00CB690C"/>
    <w:rsid w:val="00CD173F"/>
    <w:rsid w:val="00CD7E38"/>
    <w:rsid w:val="00CE6FD8"/>
    <w:rsid w:val="00CE7677"/>
    <w:rsid w:val="00CF3DD9"/>
    <w:rsid w:val="00D07F8D"/>
    <w:rsid w:val="00D20423"/>
    <w:rsid w:val="00D24727"/>
    <w:rsid w:val="00D31466"/>
    <w:rsid w:val="00D32EB4"/>
    <w:rsid w:val="00D359A0"/>
    <w:rsid w:val="00D4240D"/>
    <w:rsid w:val="00D63336"/>
    <w:rsid w:val="00D749F8"/>
    <w:rsid w:val="00D91981"/>
    <w:rsid w:val="00DB38F3"/>
    <w:rsid w:val="00DC3F69"/>
    <w:rsid w:val="00DD2A56"/>
    <w:rsid w:val="00DD5733"/>
    <w:rsid w:val="00DD6A85"/>
    <w:rsid w:val="00DE5804"/>
    <w:rsid w:val="00DF15B2"/>
    <w:rsid w:val="00DF2817"/>
    <w:rsid w:val="00E05706"/>
    <w:rsid w:val="00E1059A"/>
    <w:rsid w:val="00E12AAB"/>
    <w:rsid w:val="00E32AF8"/>
    <w:rsid w:val="00E35653"/>
    <w:rsid w:val="00E50FAC"/>
    <w:rsid w:val="00E53458"/>
    <w:rsid w:val="00E61A9D"/>
    <w:rsid w:val="00E77AD8"/>
    <w:rsid w:val="00EA6C62"/>
    <w:rsid w:val="00EA7B04"/>
    <w:rsid w:val="00ED29B2"/>
    <w:rsid w:val="00EF01E0"/>
    <w:rsid w:val="00F02972"/>
    <w:rsid w:val="00F0635E"/>
    <w:rsid w:val="00F118D4"/>
    <w:rsid w:val="00F56E6A"/>
    <w:rsid w:val="00F65F1E"/>
    <w:rsid w:val="00F72371"/>
    <w:rsid w:val="00F80A50"/>
    <w:rsid w:val="00F836A0"/>
    <w:rsid w:val="00F856CE"/>
    <w:rsid w:val="00F968DC"/>
    <w:rsid w:val="00FA06FB"/>
    <w:rsid w:val="00FE73B8"/>
    <w:rsid w:val="00FF1205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right="-43"/>
      <w:outlineLvl w:val="1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pPr>
      <w:spacing w:line="360" w:lineRule="auto"/>
      <w:jc w:val="both"/>
    </w:pPr>
  </w:style>
  <w:style w:type="paragraph" w:customStyle="1" w:styleId="Corpodetexto21">
    <w:name w:val="Corpo de texto 21"/>
    <w:basedOn w:val="Normal"/>
    <w:pPr>
      <w:spacing w:line="360" w:lineRule="auto"/>
      <w:ind w:left="1928"/>
      <w:jc w:val="both"/>
    </w:pPr>
    <w:rPr>
      <w:i/>
      <w:sz w:val="22"/>
    </w:rPr>
  </w:style>
  <w:style w:type="paragraph" w:styleId="Recuodecorpodetexto">
    <w:name w:val="Body Text Indent"/>
    <w:basedOn w:val="Normal"/>
    <w:pPr>
      <w:spacing w:line="360" w:lineRule="auto"/>
      <w:ind w:left="1928"/>
      <w:jc w:val="both"/>
    </w:pPr>
    <w:rPr>
      <w:i/>
    </w:rPr>
  </w:style>
  <w:style w:type="paragraph" w:styleId="Textodenotaderodap">
    <w:name w:val="footnote text"/>
    <w:basedOn w:val="Normal"/>
    <w:semiHidden/>
    <w:rPr>
      <w:rFonts w:ascii="Times New Roman" w:hAnsi="Times New Roman"/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spacing w:line="360" w:lineRule="auto"/>
      <w:ind w:left="-540" w:right="-583" w:firstLine="2880"/>
      <w:jc w:val="both"/>
    </w:pPr>
    <w:rPr>
      <w:rFonts w:ascii="Book Antiqua" w:hAnsi="Book Antiqua"/>
      <w:color w:val="000000"/>
      <w:sz w:val="28"/>
      <w:szCs w:val="22"/>
    </w:rPr>
  </w:style>
  <w:style w:type="paragraph" w:customStyle="1" w:styleId="Style15">
    <w:name w:val="Style15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styleId="Recuodecorpodetexto2">
    <w:name w:val="Body Text Indent 2"/>
    <w:basedOn w:val="Normal"/>
    <w:pPr>
      <w:spacing w:line="360" w:lineRule="auto"/>
      <w:ind w:right="-43" w:firstLine="2880"/>
      <w:jc w:val="both"/>
    </w:pPr>
    <w:rPr>
      <w:rFonts w:ascii="Book Antiqua" w:hAnsi="Book Antiqua"/>
      <w:color w:val="000000"/>
      <w:sz w:val="28"/>
      <w:szCs w:val="22"/>
    </w:rPr>
  </w:style>
  <w:style w:type="paragraph" w:styleId="Recuodecorpodetexto3">
    <w:name w:val="Body Text Indent 3"/>
    <w:basedOn w:val="Normal"/>
    <w:pPr>
      <w:spacing w:line="360" w:lineRule="auto"/>
      <w:ind w:firstLine="3119"/>
    </w:pPr>
    <w:rPr>
      <w:rFonts w:ascii="Book Antiqua" w:hAnsi="Book Antiqua"/>
      <w:sz w:val="28"/>
    </w:rPr>
  </w:style>
  <w:style w:type="paragraph" w:customStyle="1" w:styleId="Style18">
    <w:name w:val="Style18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customStyle="1" w:styleId="Style19">
    <w:name w:val="Style19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customStyle="1" w:styleId="Style20">
    <w:name w:val="Style20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customStyle="1" w:styleId="Style21">
    <w:name w:val="Style21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customStyle="1" w:styleId="Style22">
    <w:name w:val="Style22"/>
    <w:next w:val="Normal"/>
    <w:pPr>
      <w:autoSpaceDE w:val="0"/>
      <w:autoSpaceDN w:val="0"/>
      <w:adjustRightInd w:val="0"/>
    </w:pPr>
    <w:rPr>
      <w:rFonts w:ascii="Arial" w:hAnsi="Arial"/>
      <w:szCs w:val="24"/>
    </w:rPr>
  </w:style>
  <w:style w:type="paragraph" w:styleId="TextosemFormatao">
    <w:name w:val="Plain Text"/>
    <w:basedOn w:val="Normal"/>
    <w:rsid w:val="00C745C2"/>
    <w:rPr>
      <w:rFonts w:ascii="Courier New" w:hAnsi="Courier New"/>
      <w:sz w:val="20"/>
    </w:rPr>
  </w:style>
  <w:style w:type="paragraph" w:styleId="Pr-formataoHTML">
    <w:name w:val="HTML Preformatted"/>
    <w:basedOn w:val="Normal"/>
    <w:rsid w:val="00C74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</w:rPr>
  </w:style>
  <w:style w:type="character" w:styleId="Hyperlink">
    <w:name w:val="Hyperlink"/>
    <w:uiPriority w:val="99"/>
    <w:unhideWhenUsed/>
    <w:rsid w:val="00B55A97"/>
    <w:rPr>
      <w:strike w:val="0"/>
      <w:dstrike w:val="0"/>
      <w:color w:val="00000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B55A9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B55A97"/>
    <w:rPr>
      <w:rFonts w:ascii="Arial" w:hAnsi="Arial" w:cs="Arial"/>
      <w:vanish/>
      <w:sz w:val="16"/>
      <w:szCs w:val="16"/>
    </w:rPr>
  </w:style>
  <w:style w:type="character" w:customStyle="1" w:styleId="jradiowrapper">
    <w:name w:val="jradiowrapper"/>
    <w:basedOn w:val="Fontepargpadro"/>
    <w:rsid w:val="00B55A97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B55A9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B55A97"/>
    <w:rPr>
      <w:rFonts w:ascii="Arial" w:hAnsi="Arial" w:cs="Arial"/>
      <w:vanish/>
      <w:sz w:val="16"/>
      <w:szCs w:val="16"/>
    </w:rPr>
  </w:style>
  <w:style w:type="character" w:customStyle="1" w:styleId="CorpodetextoChar">
    <w:name w:val="Corpo de texto Char"/>
    <w:link w:val="Corpodetexto"/>
    <w:uiPriority w:val="99"/>
    <w:rsid w:val="008D344E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422F71"/>
    <w:pPr>
      <w:jc w:val="center"/>
    </w:pPr>
    <w:rPr>
      <w:b/>
    </w:rPr>
  </w:style>
  <w:style w:type="character" w:customStyle="1" w:styleId="TtuloChar">
    <w:name w:val="Título Char"/>
    <w:link w:val="Ttulo"/>
    <w:rsid w:val="00422F71"/>
    <w:rPr>
      <w:rFonts w:ascii="Arial" w:hAnsi="Arial"/>
      <w:b/>
      <w:sz w:val="24"/>
    </w:rPr>
  </w:style>
  <w:style w:type="paragraph" w:customStyle="1" w:styleId="DEBORA">
    <w:name w:val="DEBORA"/>
    <w:basedOn w:val="Normal"/>
    <w:uiPriority w:val="99"/>
    <w:rsid w:val="005816EC"/>
    <w:pPr>
      <w:jc w:val="both"/>
    </w:pPr>
    <w:rPr>
      <w:rFonts w:ascii="Courier 10 cpi" w:hAnsi="Courier 10 cpi" w:cs="Courier 10 cpi"/>
      <w:b/>
      <w:bCs/>
      <w:sz w:val="20"/>
    </w:rPr>
  </w:style>
  <w:style w:type="paragraph" w:styleId="PargrafodaLista">
    <w:name w:val="List Paragraph"/>
    <w:basedOn w:val="Normal"/>
    <w:uiPriority w:val="34"/>
    <w:qFormat/>
    <w:rsid w:val="008B6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right="-43"/>
      <w:outlineLvl w:val="1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99"/>
    <w:pPr>
      <w:spacing w:line="360" w:lineRule="auto"/>
      <w:jc w:val="both"/>
    </w:pPr>
  </w:style>
  <w:style w:type="paragraph" w:customStyle="1" w:styleId="Corpodetexto21">
    <w:name w:val="Corpo de texto 21"/>
    <w:basedOn w:val="Normal"/>
    <w:pPr>
      <w:spacing w:line="360" w:lineRule="auto"/>
      <w:ind w:left="1928"/>
      <w:jc w:val="both"/>
    </w:pPr>
    <w:rPr>
      <w:i/>
      <w:sz w:val="22"/>
    </w:rPr>
  </w:style>
  <w:style w:type="paragraph" w:styleId="Recuodecorpodetexto">
    <w:name w:val="Body Text Indent"/>
    <w:basedOn w:val="Normal"/>
    <w:pPr>
      <w:spacing w:line="360" w:lineRule="auto"/>
      <w:ind w:left="1928"/>
      <w:jc w:val="both"/>
    </w:pPr>
    <w:rPr>
      <w:i/>
    </w:rPr>
  </w:style>
  <w:style w:type="paragraph" w:styleId="Textodenotaderodap">
    <w:name w:val="footnote text"/>
    <w:basedOn w:val="Normal"/>
    <w:semiHidden/>
    <w:rPr>
      <w:rFonts w:ascii="Times New Roman" w:hAnsi="Times New Roman"/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spacing w:line="360" w:lineRule="auto"/>
      <w:ind w:left="-540" w:right="-583" w:firstLine="2880"/>
      <w:jc w:val="both"/>
    </w:pPr>
    <w:rPr>
      <w:rFonts w:ascii="Book Antiqua" w:hAnsi="Book Antiqua"/>
      <w:color w:val="000000"/>
      <w:sz w:val="28"/>
      <w:szCs w:val="22"/>
    </w:rPr>
  </w:style>
  <w:style w:type="paragraph" w:customStyle="1" w:styleId="Style15">
    <w:name w:val="Style15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styleId="Recuodecorpodetexto2">
    <w:name w:val="Body Text Indent 2"/>
    <w:basedOn w:val="Normal"/>
    <w:pPr>
      <w:spacing w:line="360" w:lineRule="auto"/>
      <w:ind w:right="-43" w:firstLine="2880"/>
      <w:jc w:val="both"/>
    </w:pPr>
    <w:rPr>
      <w:rFonts w:ascii="Book Antiqua" w:hAnsi="Book Antiqua"/>
      <w:color w:val="000000"/>
      <w:sz w:val="28"/>
      <w:szCs w:val="22"/>
    </w:rPr>
  </w:style>
  <w:style w:type="paragraph" w:styleId="Recuodecorpodetexto3">
    <w:name w:val="Body Text Indent 3"/>
    <w:basedOn w:val="Normal"/>
    <w:pPr>
      <w:spacing w:line="360" w:lineRule="auto"/>
      <w:ind w:firstLine="3119"/>
    </w:pPr>
    <w:rPr>
      <w:rFonts w:ascii="Book Antiqua" w:hAnsi="Book Antiqua"/>
      <w:sz w:val="28"/>
    </w:rPr>
  </w:style>
  <w:style w:type="paragraph" w:customStyle="1" w:styleId="Style18">
    <w:name w:val="Style18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customStyle="1" w:styleId="Style19">
    <w:name w:val="Style19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customStyle="1" w:styleId="Style20">
    <w:name w:val="Style20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customStyle="1" w:styleId="Style21">
    <w:name w:val="Style21"/>
    <w:basedOn w:val="Normal"/>
    <w:next w:val="Normal"/>
    <w:pPr>
      <w:autoSpaceDE w:val="0"/>
      <w:autoSpaceDN w:val="0"/>
      <w:adjustRightInd w:val="0"/>
    </w:pPr>
    <w:rPr>
      <w:sz w:val="20"/>
      <w:szCs w:val="24"/>
    </w:rPr>
  </w:style>
  <w:style w:type="paragraph" w:customStyle="1" w:styleId="Style22">
    <w:name w:val="Style22"/>
    <w:next w:val="Normal"/>
    <w:pPr>
      <w:autoSpaceDE w:val="0"/>
      <w:autoSpaceDN w:val="0"/>
      <w:adjustRightInd w:val="0"/>
    </w:pPr>
    <w:rPr>
      <w:rFonts w:ascii="Arial" w:hAnsi="Arial"/>
      <w:szCs w:val="24"/>
    </w:rPr>
  </w:style>
  <w:style w:type="paragraph" w:styleId="TextosemFormatao">
    <w:name w:val="Plain Text"/>
    <w:basedOn w:val="Normal"/>
    <w:rsid w:val="00C745C2"/>
    <w:rPr>
      <w:rFonts w:ascii="Courier New" w:hAnsi="Courier New"/>
      <w:sz w:val="20"/>
    </w:rPr>
  </w:style>
  <w:style w:type="paragraph" w:styleId="Pr-formataoHTML">
    <w:name w:val="HTML Preformatted"/>
    <w:basedOn w:val="Normal"/>
    <w:rsid w:val="00C74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</w:rPr>
  </w:style>
  <w:style w:type="character" w:styleId="Hyperlink">
    <w:name w:val="Hyperlink"/>
    <w:uiPriority w:val="99"/>
    <w:unhideWhenUsed/>
    <w:rsid w:val="00B55A97"/>
    <w:rPr>
      <w:strike w:val="0"/>
      <w:dstrike w:val="0"/>
      <w:color w:val="00000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B55A9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B55A97"/>
    <w:rPr>
      <w:rFonts w:ascii="Arial" w:hAnsi="Arial" w:cs="Arial"/>
      <w:vanish/>
      <w:sz w:val="16"/>
      <w:szCs w:val="16"/>
    </w:rPr>
  </w:style>
  <w:style w:type="character" w:customStyle="1" w:styleId="jradiowrapper">
    <w:name w:val="jradiowrapper"/>
    <w:basedOn w:val="Fontepargpadro"/>
    <w:rsid w:val="00B55A97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B55A9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B55A97"/>
    <w:rPr>
      <w:rFonts w:ascii="Arial" w:hAnsi="Arial" w:cs="Arial"/>
      <w:vanish/>
      <w:sz w:val="16"/>
      <w:szCs w:val="16"/>
    </w:rPr>
  </w:style>
  <w:style w:type="character" w:customStyle="1" w:styleId="CorpodetextoChar">
    <w:name w:val="Corpo de texto Char"/>
    <w:link w:val="Corpodetexto"/>
    <w:uiPriority w:val="99"/>
    <w:rsid w:val="008D344E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422F71"/>
    <w:pPr>
      <w:jc w:val="center"/>
    </w:pPr>
    <w:rPr>
      <w:b/>
    </w:rPr>
  </w:style>
  <w:style w:type="character" w:customStyle="1" w:styleId="TtuloChar">
    <w:name w:val="Título Char"/>
    <w:link w:val="Ttulo"/>
    <w:rsid w:val="00422F71"/>
    <w:rPr>
      <w:rFonts w:ascii="Arial" w:hAnsi="Arial"/>
      <w:b/>
      <w:sz w:val="24"/>
    </w:rPr>
  </w:style>
  <w:style w:type="paragraph" w:customStyle="1" w:styleId="DEBORA">
    <w:name w:val="DEBORA"/>
    <w:basedOn w:val="Normal"/>
    <w:uiPriority w:val="99"/>
    <w:rsid w:val="005816EC"/>
    <w:pPr>
      <w:jc w:val="both"/>
    </w:pPr>
    <w:rPr>
      <w:rFonts w:ascii="Courier 10 cpi" w:hAnsi="Courier 10 cpi" w:cs="Courier 10 cpi"/>
      <w:b/>
      <w:bCs/>
      <w:sz w:val="20"/>
    </w:rPr>
  </w:style>
  <w:style w:type="paragraph" w:styleId="PargrafodaLista">
    <w:name w:val="List Paragraph"/>
    <w:basedOn w:val="Normal"/>
    <w:uiPriority w:val="34"/>
    <w:qFormat/>
    <w:rsid w:val="008B6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0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4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single" w:sz="6" w:space="0" w:color="ABC297"/>
                <w:right w:val="none" w:sz="0" w:space="0" w:color="auto"/>
              </w:divBdr>
            </w:div>
            <w:div w:id="13898389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83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2739">
                  <w:marLeft w:val="21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8908">
                  <w:marLeft w:val="21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571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3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801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8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4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18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7C86A5-0DAC-4FC2-B200-2C4AC785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2872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EXCELENTÍSSIMA SENHORA DOUTORA  JUÍZA DE DIREITO DA 12@ VARA DA FAZENDA PÚBLICA.</vt:lpstr>
    </vt:vector>
  </TitlesOfParts>
  <Company>house</Company>
  <LinksUpToDate>false</LinksUpToDate>
  <CharactersWithSpaces>18350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EXCELENTÍSSIMA SENHORA DOUTORA  JUÍZA DE DIREITO DA 12@ VARA DA FAZENDA PÚBLICA.</dc:title>
  <dc:creator>no user</dc:creator>
  <cp:lastModifiedBy>user</cp:lastModifiedBy>
  <cp:revision>2</cp:revision>
  <cp:lastPrinted>2018-02-24T19:20:00Z</cp:lastPrinted>
  <dcterms:created xsi:type="dcterms:W3CDTF">2018-03-05T21:36:00Z</dcterms:created>
  <dcterms:modified xsi:type="dcterms:W3CDTF">2018-03-05T21:36:00Z</dcterms:modified>
</cp:coreProperties>
</file>